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right"/>
        <w:spacing w:lineRule="auto" w:line="276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Информация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ходе реализации мероприятий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Кабардино—Балкарской Республике»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 4 квартала 2022 г.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Министерстве просвещения и науки 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Кабардино-Балкарской Республики </w:t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tbl>
      <w:tblPr>
        <w:tblStyle w:val="48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477"/>
        <w:gridCol w:w="1073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№/№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№ пункта 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Наименование мероприятия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highlight w:val="white"/>
              </w:rPr>
              <w:t xml:space="preserve">Отчет о ходе реализации мероприятия </w:t>
            </w:r>
            <w:r>
              <w:rPr>
                <w:highlight w:val="white"/>
              </w:rPr>
            </w:r>
            <w:r/>
          </w:p>
        </w:tc>
      </w:tr>
      <w:tr>
        <w:trPr>
          <w:trHeight w:val="278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За 4 квартала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2022 г.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40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sz w:val="22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За 4 квартала 2022 г. на информационном стенде Минпросвещения КБР, посвященном противодействию коррупции размещено 3 информационно-аналитических материала.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24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0" w:firstLine="0"/>
              <w:jc w:val="both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2.6.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 25 марта 2022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сектором по вопросам противодействия коррупции Минпросвещения КБР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организован семинар на тему: «Актуальные вопросы представления сведений о доходах, расходах, имуществе и обязательствах имущественного хара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ктера в 2022 г.» за отчетный 2021 г.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с участием прокурора отдела по надзору за исполнением законодательства о противодействии коррупции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Прокуратуры Кабардино-Балкарской Республики Ульбашевой Ф.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Рассмотрены изменения формы справки для заполнения сведений о доходах, расходах, имуществе и обязательствах имущественного характера с использованием программного обеспечения СПО «Справка БК» версии 2.5.1, даны разъяснения по вопросам соблюдения требований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 законодательства о противодействии коррупции при представлении сведений о доходах, расходах, имуществе и обязательствах имущественного характера, рассмотрены наиболее часто встречающие ошибки при заполнении формы справки, вступившие в силу изменения закон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одательства о противодействии коррупции. </w:t>
            </w:r>
            <w:r>
              <w:rPr>
                <w:sz w:val="22"/>
              </w:rPr>
            </w:r>
            <w:r/>
          </w:p>
          <w:p>
            <w:pPr>
              <w:contextualSpacing w:val="false"/>
              <w:ind w:left="142" w:right="285" w:firstLine="708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szCs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25 марта 2022 г. для государственных гражданских служащих Минпросвещения КБР проведен семинар по вопросу порядка разработки, согласования и утверждения нормативных правовых актов Минпросвещения КБР и их проектов, рассмотрены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общие и особенные положения о правовых актах и правотворчестве в Кабардино-Балкарской Республике,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г. № 96,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 в соответствии с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Федеральным законом от 17.07.2009 г. № 172-ФЗ «Об антикоррупционной экспертизе нормативных правовых актов и проектов нормативных правовых актов».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Рассмотрены правила проведения антикоррупционной и правовой экспертизы нормативных правовых актов и их проектов, сроки напр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авления нормативных правовых актов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 их проектов для проведения антикоррупционной и правовой экспертизы в прокуратуру КБР и Министерство юстиции Российской Федерации по Кабардино-Балкарской Республике, направление нормативных правовых актов на регистрацию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для внесения в федеральный регистр нормативных правовых актов.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b w:val="false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2"/>
                <w:szCs w:val="28"/>
                <w:highlight w:val="none"/>
              </w:rPr>
              <w:t xml:space="preserve">В 4 квартале 2022 г. принято 3 государственных гражданских служащих, с которыми проведен вводный 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тренинг по вопросам разъяснения антикоррупционного законодательства 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Министерстве</w:t>
            </w:r>
            <w:r>
              <w:rPr>
                <w:rFonts w:ascii="Times New Roman" w:hAnsi="Times New Roman" w:cs="Times New Roman"/>
                <w:b w:val="false"/>
                <w:sz w:val="22"/>
                <w:szCs w:val="28"/>
              </w:rPr>
              <w:t xml:space="preserve"> просвещения и науки КБР, на которых рассмотрены следующие вопросы:</w:t>
            </w:r>
            <w:r>
              <w:rPr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Основные обязанности государственных гражданских служащих.</w:t>
            </w:r>
            <w:r>
              <w:rPr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Ограничения, связанные с гражданской службой.</w:t>
            </w:r>
            <w:r>
              <w:rPr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Запреты, связанные с гражданской службой.</w:t>
            </w:r>
            <w:r>
              <w:rPr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Требования к служебному поведению.</w:t>
            </w:r>
            <w:r>
              <w:rPr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Урегулирование конфликта интересов на гражданской службе.</w:t>
            </w:r>
            <w:r>
              <w:rPr>
                <w:sz w:val="22"/>
              </w:rPr>
            </w:r>
            <w:r/>
          </w:p>
          <w:p>
            <w:pPr>
              <w:ind w:left="142" w:right="285" w:firstLine="708"/>
              <w:jc w:val="both"/>
              <w:spacing w:lineRule="auto" w:line="240"/>
              <w:tabs>
                <w:tab w:val="left" w:pos="393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highlight w:val="none"/>
              </w:rPr>
              <w:t xml:space="preserve">9 декабря 2022 г. для государственных гражданских служащих Минпросвещения КБР проведен семинар по вопросам соблюдения антикоррупционных стандартов, особое внимание уделено требованию о предотвращении и урегулировании конфликта интересов, а также ответственности за несоблюдение антикоррупционных стандартов. </w:t>
            </w:r>
            <w:r>
              <w:rPr>
                <w:rFonts w:ascii="Times New Roman" w:hAnsi="Times New Roman" w:cs="Times New Roman"/>
                <w:sz w:val="22"/>
                <w:szCs w:val="28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2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ходе осуществления анализа направлений деятельности в сфере образования наиболее подверженными коррупционным рискам являются:  прием и зачисление в образовательные учреждения,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объектив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ность выдачи аттестатов об основном и  среднем общем образовании с отличием, ученической  медали «За особые успехи в учении»,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проведение промежуточной аттестации обучающихся, получающих образование в форме самообразования и семейном образовании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, аттестация педагогических кадров и руководителей образовательных учреждений, капитальное строительство и капитальный ремонт образовательных организаций, реализация национальных проектов.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соответствии с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онтроля» запланированные к проведению после вступления в силу постановления 16 плановых контрольных (надзорных) мероприятий отменены. Контроль за исполнением предписаний об устранении выявленных нарушений осуществлялся без проведения внеплановых проверок.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rPr>
                <w:rFonts w:ascii="Times New Roman" w:hAnsi="Times New Roman" w:cs="Times New Roman" w:eastAsia="Times New Roman"/>
                <w:sz w:val="22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В связи с этим в 2022 году Управлением по надзору проведены 3 плановые выезд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ные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" w:eastAsia="ru-RU"/>
              </w:rPr>
              <w:t xml:space="preserve">проверки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, 8 мониторингов безопасности с охватом 959 объектов контроля. В ходе контрольных (надзорных) мероприятий, осуществленных управлением по контролю и надзору в сфере образования по указанным вопросам  (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прием и зачисление в образовательные учреждения,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объектив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ность выдачи аттестатов об основном и  среднем общем образовании с отличием, ученической  медали «За особые успехи в учении»,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eastAsia="ru-RU"/>
              </w:rPr>
              <w:t xml:space="preserve">проведение промежуточной аттестации обучающихся, получающих образование в форме самообразования и семейном образовании)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lang w:val="ru-RU"/>
              </w:rPr>
              <w:t xml:space="preserve">нарушений объективности выявлено не было. </w:t>
            </w:r>
            <w:r>
              <w:rPr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</w:p>
          <w:p>
            <w:pPr>
              <w:ind w:left="142" w:right="176" w:firstLine="425"/>
              <w:jc w:val="both"/>
              <w:rPr>
                <w:rFonts w:ascii="Times New Roman" w:hAnsi="Times New Roman" w:cs="Times New Roman" w:eastAsia="Times New Roman"/>
                <w:sz w:val="22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8"/>
                <w:highlight w:val="none"/>
                <w:lang w:val="ru-RU"/>
              </w:rPr>
              <w:t xml:space="preserve">С целью осуществления общественного контроля за ходом капитального строительства и ремонта образовательных учреждений создан штаб родительского общественного контроля, наделенный полномочиями по осуществлению контроля за ходом капитального строительства и капитального ремонта. В 2022 г. штабом родительского общественного контроля трижды осуществлен контроль за капитальным ремонтом 29 объектов капитального ремонта, в  5 объектах было зафиксировано отклонение от сроков завершения ремонтных работ, указанных в договорах, на сегодняшний день во всех 29 объектах капитального ремонта ремонт завершен полностью.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  <w:highlight w:val="none"/>
                <w:lang w:val="ru-RU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педагогических работников организаций,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в целях установления квалификационн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ой категории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первой/высшей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(по желанию работника).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7"/>
                <w:lang w:eastAsia="ru-RU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ab/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целях недопущения совершения должностными лицами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, а также лицами, привлекаемыми к процедуре аттестации,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коррупционных правонарушений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принимает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ряд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мер 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устранения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минимизации коррупционных рисков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7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ттес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тация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педагогических работников в целях установления квалификационной категории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проводится аттестационной комиссией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состав которой утверждается приказом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Минпросвещения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 КБР;</w:t>
            </w:r>
            <w:r>
              <w:rPr>
                <w:rFonts w:ascii="Times New Roman" w:hAnsi="Times New Roman" w:cs="Times New Roman"/>
                <w:sz w:val="22"/>
                <w:szCs w:val="27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заявлений и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документов, поступивших на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рассмотрение в аттестационную комиссию, и принятие решений проводится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ллегиально,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7"/>
                <w:lang w:eastAsia="ru-RU"/>
              </w:rPr>
              <w:t xml:space="preserve">что обеспечивает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</w:rPr>
              <w:t xml:space="preserve">открытость и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  <w:lang w:eastAsia="ru-RU"/>
              </w:rPr>
              <w:t xml:space="preserve"> объективное отношение к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  <w:lang w:eastAsia="ru-RU"/>
              </w:rPr>
              <w:t xml:space="preserve">аттестуемым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7"/>
                <w:lang w:eastAsia="ru-RU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bCs/>
                <w:color w:val="000000"/>
                <w:sz w:val="22"/>
                <w:szCs w:val="27"/>
                <w:lang w:eastAsia="ru-RU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составы экспертных групп по проведению анализа профессиональной деятельности педагогических работников формируются таким образом, чтобы была исключена возможность конфликта интересов, который мог бы повлиять на объективность принимаемых решений; </w:t>
            </w:r>
            <w:r>
              <w:rPr>
                <w:rFonts w:ascii="Times New Roman" w:hAnsi="Times New Roman" w:cs="Times New Roman"/>
                <w:sz w:val="22"/>
                <w:szCs w:val="27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составы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комиссий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ериодически</w:t>
            </w:r>
            <w:bookmarkStart w:id="0" w:name="_GoBack"/>
            <w:r>
              <w:rPr>
                <w:sz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изменяются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7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в местах приема граждан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используются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видеонаблюдения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7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ведется р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азъясн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ительная работа с 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ответственным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лицам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 об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2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7"/>
              </w:rPr>
            </w:r>
            <w:r>
              <w:rPr>
                <w:sz w:val="22"/>
              </w:rPr>
            </w:r>
          </w:p>
          <w:p>
            <w:pPr>
              <w:ind w:left="142" w:right="176" w:firstLine="425"/>
              <w:jc w:val="both"/>
              <w:spacing w:lineRule="auto" w:line="240" w:after="0"/>
              <w:rPr>
                <w:rFonts w:ascii="Times New Roman" w:hAnsi="Times New Roman" w:cs="Times New Roman"/>
                <w:sz w:val="22"/>
                <w:szCs w:val="27"/>
              </w:rPr>
            </w:pPr>
            <w:r>
              <w:rPr>
                <w:rFonts w:ascii="Times New Roman" w:hAnsi="Times New Roman" w:cs="Times New Roman"/>
                <w:sz w:val="22"/>
                <w:szCs w:val="27"/>
                <w:highlight w:val="none"/>
              </w:rPr>
              <w:t xml:space="preserve">Приказом Минпросвещения КБР от 27.12.2022 г. № 22/1071 утвержден комплекс мер по минимизации коррупционных рисков при реализации министерством национальных проектов. Определены сроки исполнения мер и ответственные должностные лица (работники). Структурным подразделениям, ответственным за реализацию национальных проектов строго указано на безусловное соблюдение мерам по недопущению коррупционных проявлений при реализации национальных проектов.</w:t>
            </w:r>
            <w:r>
              <w:rPr>
                <w:rFonts w:ascii="Times New Roman" w:hAnsi="Times New Roman" w:cs="Times New Roman"/>
                <w:sz w:val="22"/>
                <w:szCs w:val="27"/>
                <w:highlight w:val="none"/>
              </w:rPr>
            </w:r>
          </w:p>
        </w:tc>
      </w:tr>
      <w:tr>
        <w:trPr>
          <w:trHeight w:val="1020"/>
        </w:trPr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Анализ практики рассмотрения органами государственной власти Кабардино-Балкарской Республики и органами местного самоуправления обращений граждан и организаций по фактам коррупции, а также принятые по таким обращениям меры реагирования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4 квартала 2022 г. обращений граждан о проявлениях коррупции в министерстве не поступало.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2.9.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Кабардино-Балкарской Республики 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лномочий, осуществлении контрольно-надзорных функций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Приказом Минпросвещения КБР от 22.12.2022 г. № 22/1041 «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  <w:t xml:space="preserve">Об утверждении комплекса мер профилактики коррупции, ориентированных на снижение коррупционных рисков и обеспечение открытости власти при реализации Минпросвещения КБР лицензионно-разрешительных полномочий и осуществлении контрольно-надзорных функций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  <w:t xml:space="preserve">» утверждена карта коррупционных рисков Управления по надзору и контролю в сфере образования Минпросвещения КБР. Выделены административные процедуры (действия), содержащие коррупционные риски при их реализации, подробно описаны возможные коррупционные схемы, определены подразделения и должностные лица, замещение которых связаны с коррупционными рисками, а также предложены меры по минимизации коррупционных рисков в деятельности Управления по надзору и контролю в сфере образования Минпросвещения КБР.</w:t>
            </w:r>
            <w:r/>
          </w:p>
          <w:p>
            <w:pPr>
              <w:contextualSpacing w:val="false"/>
              <w:jc w:val="both"/>
              <w:rPr>
                <w:rFonts w:ascii="Times New Roman" w:hAnsi="Times New Roman" w:cs="Times New Roman" w:eastAsia="Times New Roman"/>
                <w:sz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  <w:t xml:space="preserve">С целью обеспечения открытости власти при осуществлении министерством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лицензионно-разрешительных по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лномочий, осуществлении контрольно-надзорных функций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  <w:t xml:space="preserve"> разработана форма анкеты для проведения опроса общественного мнения возможности возникновения и действия коррупциогенных факторов на деятельность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  <w:t xml:space="preserve">Управления по надзору и контролю в сфере образования Минпросвещения КБР, которая размещена на официальном сайте министерства.</w:t>
            </w:r>
            <w:r/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142" w:right="176" w:firstLine="0"/>
              <w:jc w:val="both"/>
              <w:rPr>
                <w:rFonts w:ascii="Times New Roman" w:hAnsi="Times New Roman" w:cs="Times New Roman" w:eastAsia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осударственных гражданских служащих,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входит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участие в противодействии коррупции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в 3 квартале 2022 г. прошли повышение квалификации на тему: «Антикоррупционная экспертиза нормативных правовых актов и их проектов».</w:t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2.11.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176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3 госу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дарственных гражданских служащих,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впервые поступивших на государственную гражданскую службу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замещающих должности, связанные с собл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юдением антикоррупционных стандартов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, в 2022 г. прошли повышение квалификации по программе «Антикоррупционное поведение государственных гражданских служащих: правовые, экономические и психологические аспекты».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pStyle w:val="648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осударственных гражданских служащих, в чьи должностные обязанности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входит участие в проведении закупок товаров, работ, услуг д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ля обеспечения государственных и муниципальных нужд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2022 г. прошли повышение квалификации по программе «Антикоррупционное поведение государственных гражданских служащих: правовые, экономические и психологические аспекты».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Проведение анализа эффективности реализации ведомственных и муниципальных программ (планов) противодействия коррупции и внесение рекомендаций по повышению эффективности их реализации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Отчет о реализации антикоррупционной деятельности за 2021 г. в соответствии с протоколом № 1 от 24.02.2022 г. рассмотрен на расширенном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заседании Коллегии Минпросвещения КБР с участием членов Общественного совета Минпросвещения КБР, начальников муниципальных органов управления образованием, руководителей и работников подведомственных организаций, представителей средств массовой информации. Проводимая работа признана удовлетворительной.</w:t>
            </w:r>
            <w:r>
              <w:rPr>
                <w:sz w:val="22"/>
              </w:rPr>
            </w:r>
            <w:r/>
          </w:p>
          <w:p>
            <w:pPr>
              <w:ind w:left="142" w:right="221" w:firstLine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2.18.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товой коррупции в сфере образования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приказом Минпросвещения КБР от 08.10.2018 г.  № 730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утвержден Комплекс мер по предупреждению и минимизации бытовой коррупции в образовательных орган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изациях, подведомственных Минпросвещения КБР.</w:t>
            </w:r>
            <w:r/>
          </w:p>
          <w:p>
            <w:p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Данный приказ доведен до сведения всех заинтересованных. </w:t>
            </w:r>
            <w:r>
              <w:rPr>
                <w:sz w:val="22"/>
              </w:rPr>
            </w:r>
            <w:r/>
          </w:p>
          <w:p>
            <w:pPr>
              <w:pStyle w:val="646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3 квартале 2022 г. проведен анализ правовой базы деятельности организаций,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подведомственных Минпросвещения КБР. Ряду организаций даны рекомендации по приведению в соответствие в связи с кадровыми изменениями по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определению лиц, ответств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енных за профилактику коррупционных и иных правонарушений; по устранению пробелов, не урегулированных локальными актами организаций  регулирующих вопросы противодействия коррупции; по размещению полной и объективной информации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ационном стенде учреждения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по исполнению ведомственного плана по противодействию коррупции.</w:t>
            </w:r>
            <w:r/>
          </w:p>
          <w:p>
            <w:pPr>
              <w:pStyle w:val="646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За 2022 г. 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жалоб и обращений граждан и организаций в подведомственные образовательные организации не поступало.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pStyle w:val="646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Информации о фактах коррупции в Минпросвещения КБР и подведомственных образовательных организаций в ходе анализа информации, распространяемой СМИ не выявлено.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  <w:p>
            <w:pPr>
              <w:pStyle w:val="646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Планируется в 4 квартале 2022 г.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  <w:p>
            <w:pPr>
              <w:pStyle w:val="663"/>
              <w:numPr>
                <w:ilvl w:val="0"/>
                <w:numId w:val="9"/>
              </w:numPr>
              <w:ind w:left="142" w:right="176" w:firstLine="0"/>
              <w:jc w:val="both"/>
              <w:tabs>
                <w:tab w:val="clear" w:pos="4677" w:leader="none"/>
                <w:tab w:val="clear" w:pos="9355" w:leader="none"/>
              </w:tabs>
            </w:pPr>
            <w:r>
              <w:rPr>
                <w:sz w:val="22"/>
                <w:szCs w:val="28"/>
              </w:rPr>
              <w:t xml:space="preserve">в 3 квартале 2022 г.</w:t>
            </w:r>
            <w:r>
              <w:rPr>
                <w:sz w:val="22"/>
                <w:szCs w:val="28"/>
              </w:rPr>
              <w:t xml:space="preserve"> образовательными организациями, подведомственными Минпросвещения КБР, проведен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ониторинг мнения родителей (законных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представителей) обучающихся образовательных организаций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, подведомственных Минпросвещения КБР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по вопросам оказания платных образовательных услуг,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привлечения и расходования добровольных пожертвований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и целевых взносов физических лиц.</w:t>
            </w:r>
            <w:r>
              <w:rPr>
                <w:rFonts w:ascii="Times New Roman" w:hAnsi="Times New Roman"/>
                <w:sz w:val="22"/>
                <w:szCs w:val="28"/>
                <w:highlight w:val="none"/>
              </w:rPr>
            </w:r>
            <w:r/>
          </w:p>
          <w:p>
            <w:pPr>
              <w:pStyle w:val="648"/>
              <w:ind w:left="142" w:right="176" w:firstLine="0"/>
              <w:jc w:val="both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8"/>
                <w:highlight w:val="none"/>
              </w:rPr>
              <w:t xml:space="preserve">Результаты проведенного мониторинга показывают, что преобладающее большинство родителей, законных представителей систематически посещают официальные сайты учреждений по вопросам о </w:t>
            </w:r>
            <w:r>
              <w:rPr>
                <w:rFonts w:ascii="Times New Roman" w:hAnsi="Times New Roman"/>
                <w:sz w:val="22"/>
                <w:szCs w:val="28"/>
                <w:highlight w:val="none"/>
              </w:rPr>
              <w:t xml:space="preserve">порядке привлечения </w:t>
            </w:r>
            <w:r>
              <w:rPr>
                <w:rFonts w:ascii="Times New Roman" w:hAnsi="Times New Roman"/>
                <w:sz w:val="22"/>
                <w:szCs w:val="28"/>
                <w:highlight w:val="none"/>
              </w:rPr>
              <w:t xml:space="preserve">и расходования добровольных пожертвований и целевых взносов, интересующую информацию респонденты своевременно получают от администрации учреждения, либо самостоятельно через официальный сайт учреждения. Всего в мониторинге приняли участие 956 респондентов.</w:t>
            </w:r>
            <w:r>
              <w:rPr>
                <w:rFonts w:ascii="Times New Roman" w:hAnsi="Times New Roman"/>
                <w:sz w:val="22"/>
                <w:szCs w:val="28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1. Известен ли Вам телефон или электронный адрес региональной постоянно действующей "горячей линий" по вопросам незаконных сборов денежных средств в общеобразовательных организациях: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известен; 531 (55,5%)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Нет, но я знаю, где его можно найти; 248 (26%)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Неизвестен; 88 (9,2%)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69 (7,2%)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2. Известно ли Вам, что на официальном сайте общеобразовательной организации, в которой обучается Ваш ребенок, размещен документ о порядке оказания платных образовательных услуг: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в школе; 597 (62%)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регулярно посещаю сайт школы; 157 (16%)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 103 (11%)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54 (5,6%)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3. Известно ли Вам, что на официальном сайте общеобразовательной организации, в которой обучается Ваш ребенок, размещен образец договора об оказании платных образовательных услуг: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в школе;508 (53%)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регулярно посещаю сайт школы; 241 (25%)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этом;110 (11,5%)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интересно.80 (8%)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4. Известно ли Вам, что на официальном сайте общеобразовательной организации, в которой обучается Ваш ребенок, размещен документ об утверждении стоимости обучения по каждой образовательной программе: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в школе;488 (51%)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регулярно посещаю сайт школы;100 (10,4%)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этом;250 (26%)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интересно.98 (10%)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5. Вы обладаете необходимой и достоверной информацией о пере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под роспись в школе; 499 (52%)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на сайте школы; 119 (12%)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знаком; 217 (23%)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202 (21%)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6. Известно ли Вам, какие образовательные услуги оказываются в общеобразовательной организации, в которой обучается Ваш ребенок, на платной основе: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с их перечнем в школе;611 (64%)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на сайте школы;194 (20%)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известно; 79 (8%)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106 (0,11%)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7. Известно ли Вам, в каком порядке и на каких условиях Вы, как родитель, можете внести в общеобразовательную организацию, в которой обучается Ваш ребенок, добровольное пожертвование или и целевой взнос: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с этим в школе; 503 (68%)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с этим на сайте школы; 63 (8%)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известно;83 (11,1%)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интересно.75 (10%)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8. Известно ли Вам,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познакомили с этим в школе; 432 (58%)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я познакомился с этим на сайте школы; 148 (20%)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известно; 99 (13%)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48 (6%)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9. Имеют ли право родители учащихся общеобразовательной организации, в которой обучается Ваш ребенок, осуществлять контроль за расходованием родительских средств (имеется локальный акт):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имеют; 583 (78%)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Мне это не известно; 182 (24%)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Мне это не интересно.9 (1,2%)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10. Известны ли Вам телефоны "горячих линий",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А) Да, нас уведомили об этом в школе; 482 (65%)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Б) Да, они размещены на официальном сайте управления образования; 112 (15%)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В) Нет, не знаю об этом; 168 (22,5%)</w:t>
            </w:r>
            <w:r>
              <w:rPr>
                <w:sz w:val="22"/>
              </w:rPr>
            </w:r>
            <w:r/>
          </w:p>
          <w:p>
            <w:pPr>
              <w:pStyle w:val="648"/>
              <w:contextualSpacing w:val="false"/>
              <w:ind w:firstLine="540"/>
              <w:jc w:val="both"/>
              <w:spacing w:lineRule="auto" w:line="240" w:after="0" w:before="0"/>
              <w:rPr>
                <w:rFonts w:ascii="Times New Roman" w:hAnsi="Times New Roman"/>
                <w:sz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8"/>
              </w:rPr>
              <w:t xml:space="preserve">Г) Мне это не интересно. 46 (6%)</w:t>
            </w:r>
            <w:r>
              <w:rPr>
                <w:sz w:val="22"/>
              </w:rPr>
            </w:r>
            <w:r/>
          </w:p>
          <w:p>
            <w:pPr>
              <w:pStyle w:val="646"/>
              <w:numPr>
                <w:ilvl w:val="0"/>
                <w:numId w:val="9"/>
              </w:numPr>
              <w:ind w:left="142" w:right="176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декабре 2022 г. объявлен конкурс на замещение должностей руководителей 4 образовательных организаций, подведомственных Минпросвещения КБР. В феврале 2023 г. планируется проведение собеседования с использованием блока вопросов на знание законодательства о противодействии коррупции.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2.19.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none"/>
              </w:rPr>
              <w:t xml:space="preserve">В 2022 г. изменения в административные регламенты предоставления государственных услуг не вносились.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highlight w:val="white"/>
              </w:rPr>
              <w:t xml:space="preserve">Вся актуальная информация по предоставлению государственных услуг размещена на официальном сайте Минпросвещения КБР во вкладке Государственные услуги.</w:t>
            </w:r>
            <w:r>
              <w:rPr>
                <w:sz w:val="22"/>
              </w:rPr>
            </w:r>
            <w:r/>
          </w:p>
          <w:p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48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48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Организация специальных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142" w:right="176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Во 2 квартале 2022 г.  прошли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специальные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курсы повышения квалификации 40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48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2.24.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48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республиканского молодежного форума "Стоп, коррупция!"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425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ноября 2022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года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Мин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молодежи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КБР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на ба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зе Культурного центра МВД по Кабардино-Балкарской Республике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проведен республиканский молодежный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форум «Стоп, коррупция!».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283" w:right="0" w:firstLine="425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проведено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 целях вовлечения молодежи в реализацию антикоррупционной политики, формирования активной гражданской позиции, стимулиро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вания творческой и общественной деятельности молодежи в сфере противодействия коррупции, предоставления молодежи возможности выразить свое отношение к проблеме коррупции, формирования антикоррупционного мировоззрения и повышения правовой культуры молодежи.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left="283" w:right="0" w:firstLine="425"/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2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Участниками мероприятия стали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наиболее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активные студенты образовательных организаций среднего профессионального образования КБР, лидеры молодежных движений, специалисты по делам молодежи городских округов и муниципальных районов КБР с общим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охватом 50 человек.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</w:r>
            <w:r>
              <w:rPr>
                <w:sz w:val="22"/>
              </w:rPr>
            </w:r>
          </w:p>
          <w:p>
            <w:pPr>
              <w:ind w:left="283" w:right="0" w:firstLine="42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48"/>
              <w:rPr>
                <w:rFonts w:ascii="Times New Roman" w:hAnsi="Times New Roman" w:cs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2.25.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pStyle w:val="648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борьбы с коррупцией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На основании приказа Минпросвещения КБР от 02.12.2022 г.  № 22/980 «О проведении декады по противодействию коррупции в Минпросвещения КБР, посвященной Международному дню борьбы с коррупцией», проведено анонимное анкетирование кадрового состава с целью выявления возможного проявления клановости и дискриминации по национальному и религиозному признакам, анкетирование по соблюдению ограничений и запретов, требований о предотвращении или об урегулировании конфликта интересов , тестирование госслужащих на знание принципов профессиональной этики, основных правил служебного поведения и законодательства о противодействии коррупции, семинар с госслужащими по вопросам соблюдения антикоррупционных стандартов, требований о предотвращении и урегулировании конфликта интересов, ответственности за несоблюдение антикоррупционных стандартов.</w:t>
            </w:r>
            <w:r/>
          </w:p>
          <w:p>
            <w:pPr>
              <w:ind w:left="283" w:right="0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highlight w:val="none"/>
              </w:rPr>
              <w:t xml:space="preserve">Подведомственные учреждения представили фото и видео материалы, а также отчеты о проведенных мероприятиях , посвященных Международному дню борьбы с коррупцией. 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2.27.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Мониторинг принимаемых мер по профилактике коррупции в подведомственных  государственных учреждениях, разработка комплекса мер по совершенствованию деятельности по профилактике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сударственных учреждениях приняты следующие меры по предупреждению коррупции: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 размещена необходимая информация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ационном стенде учреждения. </w:t>
            </w:r>
            <w:r>
              <w:rPr>
                <w:highlight w:val="whit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 1 квартале 2022 г. в рамках реализации законодательства о внутриведомственном контроле проведена 1 выездная проверка ГБПОУ «Прохладненский многопрофильный колледж». Руководителю учреждения и ответственному за реализацию антик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оррупционной политики в учреждении даны рекомендации по совершенствованию антикоррупционной деятельности, своевременному размещению на официальном сайте учреждения полной и достоверной информации о проводимых мероприятиях антикоррупционной направленности.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2.29.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Направление в уполномоченный орган государственной власти КБР по профилактике коррупционных и иных правонарушений информации, касающейся событий, признак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contextualSpacing w:val="false"/>
              <w:ind w:left="283" w:right="0" w:firstLine="0"/>
              <w:jc w:val="left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За 4 квартала 2022 г.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 исполнение распоряжения Главы КБР от 29.08.2019 г. № 96-РГ в уполномоченный орган госвласти КБР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 профилактике коррупционных и иных правонарушений направлена соответствующая информация. </w:t>
            </w:r>
            <w:r>
              <w:rPr>
                <w:highlight w:val="white"/>
              </w:rPr>
            </w:r>
            <w:r/>
          </w:p>
          <w:p>
            <w:pPr>
              <w:contextualSpacing w:val="false"/>
              <w:ind w:right="0"/>
              <w:jc w:val="left"/>
              <w:rPr>
                <w:sz w:val="22"/>
                <w:highlight w:val="white"/>
              </w:rPr>
              <w:suppressLineNumbers w:val="0"/>
            </w:pPr>
            <w:r>
              <w:rPr>
                <w:sz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2.30.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Реализация комплекса мер по порядку отбора и изучению кандидатов на отдельные должности государственной гражданской службы КБР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 4 квартала 2022 г. назначения на отдельные должности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государственной гражданской службы КБР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 не осуществлялись.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2.32.</w:t>
            </w:r>
            <w:r>
              <w:rPr>
                <w:highlight w:val="white"/>
              </w:rPr>
            </w:r>
            <w:r/>
          </w:p>
        </w:tc>
        <w:tc>
          <w:tcPr>
            <w:tcW w:w="3477" w:type="dxa"/>
            <w:vMerge w:val="restart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Организация наполнения разделов "Противодействие коррупции" официальных сайтов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"Интернет"</w:t>
            </w:r>
            <w:r>
              <w:rPr>
                <w:highlight w:val="white"/>
              </w:rPr>
            </w:r>
            <w:r/>
          </w:p>
        </w:tc>
        <w:tc>
          <w:tcPr>
            <w:tcW w:w="10738" w:type="dxa"/>
            <w:vMerge w:val="restart"/>
            <w:textDirection w:val="lrTb"/>
            <w:noWrap w:val="false"/>
          </w:tcPr>
          <w:p>
            <w:pPr>
              <w:ind w:left="283" w:right="0" w:firstLine="0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  <w:t xml:space="preserve">За 4 квартала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2022 г.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в разделе «Антикоррупционная деятельность» размещено 9 информационно-аналитических материалов на антикоррупционную тематику.</w:t>
            </w:r>
            <w:r>
              <w:rPr>
                <w:highlight w:val="white"/>
              </w:rPr>
            </w:r>
            <w:r/>
          </w:p>
        </w:tc>
      </w:tr>
    </w:tbl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jc w:val="center"/>
        <w:spacing w:lineRule="auto" w:line="276" w:after="0" w:before="0"/>
        <w:rPr>
          <w:rFonts w:ascii="Times New Roman" w:hAnsi="Times New Roman" w:cs="Times New Roman" w:eastAsia="Times New Roman"/>
          <w:sz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pStyle w:val="653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54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55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56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57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58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59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60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61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7">
    <w:name w:val="Heading 1 Char"/>
    <w:link w:val="628"/>
    <w:uiPriority w:val="9"/>
    <w:rPr>
      <w:rFonts w:ascii="Arial" w:hAnsi="Arial" w:cs="Arial" w:eastAsia="Arial"/>
      <w:sz w:val="40"/>
      <w:szCs w:val="40"/>
    </w:rPr>
  </w:style>
  <w:style w:type="character" w:styleId="468">
    <w:name w:val="Heading 2 Char"/>
    <w:link w:val="629"/>
    <w:uiPriority w:val="9"/>
    <w:rPr>
      <w:rFonts w:ascii="Arial" w:hAnsi="Arial" w:cs="Arial" w:eastAsia="Arial"/>
      <w:sz w:val="34"/>
    </w:rPr>
  </w:style>
  <w:style w:type="character" w:styleId="469">
    <w:name w:val="Heading 3 Char"/>
    <w:link w:val="630"/>
    <w:uiPriority w:val="9"/>
    <w:rPr>
      <w:rFonts w:ascii="Arial" w:hAnsi="Arial" w:cs="Arial" w:eastAsia="Arial"/>
      <w:sz w:val="30"/>
      <w:szCs w:val="30"/>
    </w:rPr>
  </w:style>
  <w:style w:type="character" w:styleId="470">
    <w:name w:val="Heading 4 Char"/>
    <w:link w:val="631"/>
    <w:uiPriority w:val="9"/>
    <w:rPr>
      <w:rFonts w:ascii="Arial" w:hAnsi="Arial" w:cs="Arial" w:eastAsia="Arial"/>
      <w:b/>
      <w:bCs/>
      <w:sz w:val="26"/>
      <w:szCs w:val="26"/>
    </w:rPr>
  </w:style>
  <w:style w:type="character" w:styleId="471">
    <w:name w:val="Heading 5 Char"/>
    <w:link w:val="632"/>
    <w:uiPriority w:val="9"/>
    <w:rPr>
      <w:rFonts w:ascii="Arial" w:hAnsi="Arial" w:cs="Arial" w:eastAsia="Arial"/>
      <w:b/>
      <w:bCs/>
      <w:sz w:val="24"/>
      <w:szCs w:val="24"/>
    </w:rPr>
  </w:style>
  <w:style w:type="character" w:styleId="472">
    <w:name w:val="Heading 6 Char"/>
    <w:link w:val="633"/>
    <w:uiPriority w:val="9"/>
    <w:rPr>
      <w:rFonts w:ascii="Arial" w:hAnsi="Arial" w:cs="Arial" w:eastAsia="Arial"/>
      <w:b/>
      <w:bCs/>
      <w:sz w:val="22"/>
      <w:szCs w:val="22"/>
    </w:rPr>
  </w:style>
  <w:style w:type="character" w:styleId="473">
    <w:name w:val="Heading 7 Char"/>
    <w:link w:val="6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74">
    <w:name w:val="Heading 8 Char"/>
    <w:link w:val="635"/>
    <w:uiPriority w:val="9"/>
    <w:rPr>
      <w:rFonts w:ascii="Arial" w:hAnsi="Arial" w:cs="Arial" w:eastAsia="Arial"/>
      <w:i/>
      <w:iCs/>
      <w:sz w:val="22"/>
      <w:szCs w:val="22"/>
    </w:rPr>
  </w:style>
  <w:style w:type="character" w:styleId="475">
    <w:name w:val="Heading 9 Char"/>
    <w:link w:val="636"/>
    <w:uiPriority w:val="9"/>
    <w:rPr>
      <w:rFonts w:ascii="Arial" w:hAnsi="Arial" w:cs="Arial" w:eastAsia="Arial"/>
      <w:i/>
      <w:iCs/>
      <w:sz w:val="21"/>
      <w:szCs w:val="21"/>
    </w:rPr>
  </w:style>
  <w:style w:type="character" w:styleId="476">
    <w:name w:val="Title Char"/>
    <w:link w:val="645"/>
    <w:uiPriority w:val="10"/>
    <w:rPr>
      <w:sz w:val="48"/>
      <w:szCs w:val="48"/>
    </w:rPr>
  </w:style>
  <w:style w:type="character" w:styleId="477">
    <w:name w:val="Subtitle Char"/>
    <w:link w:val="643"/>
    <w:uiPriority w:val="11"/>
    <w:rPr>
      <w:sz w:val="24"/>
      <w:szCs w:val="24"/>
    </w:rPr>
  </w:style>
  <w:style w:type="character" w:styleId="478">
    <w:name w:val="Quote Char"/>
    <w:link w:val="642"/>
    <w:uiPriority w:val="29"/>
    <w:rPr>
      <w:i/>
    </w:rPr>
  </w:style>
  <w:style w:type="character" w:styleId="479">
    <w:name w:val="Intense Quote Char"/>
    <w:link w:val="644"/>
    <w:uiPriority w:val="30"/>
    <w:rPr>
      <w:i/>
    </w:rPr>
  </w:style>
  <w:style w:type="character" w:styleId="480">
    <w:name w:val="Header Char"/>
    <w:link w:val="640"/>
    <w:uiPriority w:val="99"/>
  </w:style>
  <w:style w:type="character" w:styleId="481">
    <w:name w:val="Footer Char"/>
    <w:link w:val="639"/>
    <w:uiPriority w:val="99"/>
  </w:style>
  <w:style w:type="paragraph" w:styleId="482">
    <w:name w:val="Caption"/>
    <w:basedOn w:val="627"/>
    <w:next w:val="6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3">
    <w:name w:val="Caption Char"/>
    <w:basedOn w:val="482"/>
    <w:link w:val="639"/>
    <w:uiPriority w:val="99"/>
  </w:style>
  <w:style w:type="table" w:styleId="484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5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6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9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1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3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4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5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6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7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8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9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3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4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6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7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8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9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0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1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2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8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9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0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1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2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3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4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6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7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8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9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0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1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2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3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4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5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6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7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8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9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0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1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2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3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4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5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6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7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8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9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0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1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2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3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4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5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6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7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8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9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0">
    <w:name w:val="Hyperlink"/>
    <w:uiPriority w:val="99"/>
    <w:unhideWhenUsed/>
    <w:rPr>
      <w:color w:val="0000FF" w:themeColor="hyperlink"/>
      <w:u w:val="single"/>
    </w:rPr>
  </w:style>
  <w:style w:type="paragraph" w:styleId="611">
    <w:name w:val="footnote text"/>
    <w:basedOn w:val="627"/>
    <w:link w:val="612"/>
    <w:uiPriority w:val="99"/>
    <w:semiHidden/>
    <w:unhideWhenUsed/>
    <w:rPr>
      <w:sz w:val="18"/>
    </w:rPr>
    <w:pPr>
      <w:spacing w:lineRule="auto" w:line="240" w:after="40"/>
    </w:pPr>
  </w:style>
  <w:style w:type="character" w:styleId="612">
    <w:name w:val="Footnote Text Char"/>
    <w:link w:val="611"/>
    <w:uiPriority w:val="99"/>
    <w:rPr>
      <w:sz w:val="18"/>
    </w:rPr>
  </w:style>
  <w:style w:type="character" w:styleId="613">
    <w:name w:val="footnote reference"/>
    <w:uiPriority w:val="99"/>
    <w:unhideWhenUsed/>
    <w:rPr>
      <w:vertAlign w:val="superscript"/>
    </w:rPr>
  </w:style>
  <w:style w:type="paragraph" w:styleId="614">
    <w:name w:val="endnote text"/>
    <w:basedOn w:val="627"/>
    <w:link w:val="615"/>
    <w:uiPriority w:val="99"/>
    <w:semiHidden/>
    <w:unhideWhenUsed/>
    <w:rPr>
      <w:sz w:val="20"/>
    </w:rPr>
    <w:pPr>
      <w:spacing w:lineRule="auto" w:line="240" w:after="0"/>
    </w:pPr>
  </w:style>
  <w:style w:type="character" w:styleId="615">
    <w:name w:val="Endnote Text Char"/>
    <w:link w:val="614"/>
    <w:uiPriority w:val="99"/>
    <w:rPr>
      <w:sz w:val="20"/>
    </w:rPr>
  </w:style>
  <w:style w:type="character" w:styleId="616">
    <w:name w:val="endnote reference"/>
    <w:uiPriority w:val="99"/>
    <w:semiHidden/>
    <w:unhideWhenUsed/>
    <w:rPr>
      <w:vertAlign w:val="superscript"/>
    </w:rPr>
  </w:style>
  <w:style w:type="paragraph" w:styleId="617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618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619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620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621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622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623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624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625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626">
    <w:name w:val="TOC Heading"/>
    <w:uiPriority w:val="39"/>
    <w:unhideWhenUsed/>
  </w:style>
  <w:style w:type="paragraph" w:styleId="627" w:default="1">
    <w:name w:val="Normal"/>
    <w:qFormat/>
  </w:style>
  <w:style w:type="paragraph" w:styleId="628">
    <w:name w:val="Heading 1"/>
    <w:basedOn w:val="627"/>
    <w:next w:val="627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29">
    <w:name w:val="Heading 2"/>
    <w:basedOn w:val="627"/>
    <w:next w:val="627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30">
    <w:name w:val="Heading 3"/>
    <w:basedOn w:val="627"/>
    <w:next w:val="627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31">
    <w:name w:val="Heading 4"/>
    <w:basedOn w:val="627"/>
    <w:next w:val="627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32">
    <w:name w:val="Heading 5"/>
    <w:basedOn w:val="627"/>
    <w:next w:val="627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33">
    <w:name w:val="Heading 6"/>
    <w:basedOn w:val="627"/>
    <w:next w:val="627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34">
    <w:name w:val="Heading 7"/>
    <w:basedOn w:val="627"/>
    <w:next w:val="627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35">
    <w:name w:val="Heading 8"/>
    <w:basedOn w:val="627"/>
    <w:next w:val="627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36">
    <w:name w:val="Heading 9"/>
    <w:basedOn w:val="627"/>
    <w:next w:val="627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Footer"/>
    <w:basedOn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40">
    <w:name w:val="Header"/>
    <w:basedOn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41">
    <w:name w:val="No Spacing"/>
    <w:basedOn w:val="627"/>
    <w:qFormat/>
    <w:uiPriority w:val="1"/>
    <w:pPr>
      <w:spacing w:lineRule="auto" w:line="240" w:after="0"/>
    </w:pPr>
  </w:style>
  <w:style w:type="paragraph" w:styleId="642">
    <w:name w:val="Quote"/>
    <w:basedOn w:val="627"/>
    <w:next w:val="627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43">
    <w:name w:val="Subtitle"/>
    <w:basedOn w:val="627"/>
    <w:next w:val="627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44">
    <w:name w:val="Intense Quote"/>
    <w:basedOn w:val="627"/>
    <w:next w:val="627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45">
    <w:name w:val="Title"/>
    <w:basedOn w:val="627"/>
    <w:next w:val="627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46">
    <w:name w:val="List Paragraph"/>
    <w:basedOn w:val="627"/>
    <w:qFormat/>
    <w:uiPriority w:val="34"/>
    <w:pPr>
      <w:contextualSpacing w:val="true"/>
      <w:ind w:left="720"/>
    </w:pPr>
  </w:style>
  <w:style w:type="character" w:styleId="647" w:default="1">
    <w:name w:val="Default Paragraph Font"/>
    <w:uiPriority w:val="1"/>
    <w:semiHidden/>
    <w:unhideWhenUsed/>
  </w:style>
  <w:style w:type="paragraph" w:styleId="648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49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character" w:styleId="650">
    <w:name w:val="Emphasis"/>
    <w:qFormat/>
    <w:rPr>
      <w:i/>
      <w:iCs/>
    </w:rPr>
  </w:style>
  <w:style w:type="character" w:styleId="651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652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3">
    <w:name w:val="Заголовок 1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36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0"/>
        <w:numId w:val="3"/>
      </w:numPr>
      <w:contextualSpacing w:val="false"/>
      <w:ind w:left="432" w:right="0" w:hanging="432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43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654">
    <w:name w:val="Заголовок 2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1"/>
        <w:numId w:val="3"/>
      </w:numPr>
      <w:contextualSpacing w:val="false"/>
      <w:ind w:left="576" w:right="0" w:hanging="57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57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  <w:suppressLineNumbers w:val="0"/>
    </w:pPr>
  </w:style>
  <w:style w:type="paragraph" w:styleId="655">
    <w:name w:val="Заголовок 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2"/>
        <w:numId w:val="3"/>
      </w:numPr>
      <w:contextualSpacing w:val="false"/>
      <w:ind w:left="720" w:right="0" w:hanging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72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  <w:suppressLineNumbers w:val="0"/>
    </w:pPr>
  </w:style>
  <w:style w:type="paragraph" w:styleId="656">
    <w:name w:val="Заголовок 4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3"/>
        <w:numId w:val="3"/>
      </w:numPr>
      <w:contextualSpacing w:val="false"/>
      <w:ind w:left="864" w:right="0" w:hanging="864"/>
      <w:jc w:val="lef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86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  <w:suppressLineNumbers w:val="0"/>
    </w:pPr>
  </w:style>
  <w:style w:type="paragraph" w:styleId="657">
    <w:name w:val="Заголовок 5"/>
    <w:rPr>
      <w:rFonts w:ascii="Times New Roman" w:hAnsi="Times New Roman" w:cs="Times New Roman" w:eastAsia="Times New Roman"/>
      <w:b/>
      <w:bCs w:val="false"/>
      <w:i/>
      <w:iCs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4"/>
        <w:numId w:val="3"/>
      </w:numPr>
      <w:contextualSpacing w:val="false"/>
      <w:ind w:left="0" w:right="0" w:firstLine="72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008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  <w:suppressLineNumbers w:val="0"/>
    </w:pPr>
  </w:style>
  <w:style w:type="paragraph" w:styleId="658">
    <w:name w:val="Заголовок 6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5"/>
        <w:numId w:val="3"/>
      </w:numPr>
      <w:contextualSpacing w:val="false"/>
      <w:ind w:left="1440" w:right="0" w:firstLine="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15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  <w:suppressLineNumbers w:val="0"/>
    </w:pPr>
  </w:style>
  <w:style w:type="paragraph" w:styleId="659">
    <w:name w:val="Заголовок 7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6"/>
        <w:numId w:val="3"/>
      </w:numPr>
      <w:contextualSpacing w:val="false"/>
      <w:ind w:left="1296" w:right="0" w:hanging="1296"/>
      <w:jc w:val="center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29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  <w:suppressLineNumbers w:val="0"/>
    </w:pPr>
  </w:style>
  <w:style w:type="paragraph" w:styleId="660">
    <w:name w:val="Заголовок 8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en-US" w:bidi="ar-SA" w:eastAsia="ar-SA"/>
    </w:rPr>
    <w:pPr>
      <w:numPr>
        <w:ilvl w:val="7"/>
        <w:numId w:val="3"/>
      </w:numPr>
      <w:contextualSpacing w:val="false"/>
      <w:ind w:left="1440" w:right="0" w:hanging="1440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44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  <w:suppressLineNumbers w:val="0"/>
    </w:pPr>
  </w:style>
  <w:style w:type="paragraph" w:styleId="661">
    <w:name w:val="Заголовок 9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numPr>
        <w:ilvl w:val="8"/>
        <w:numId w:val="3"/>
      </w:numPr>
      <w:contextualSpacing w:val="false"/>
      <w:ind w:left="1584" w:right="0" w:hanging="1584"/>
      <w:jc w:val="both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num" w:pos="158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  <w:suppressLineNumbers w:val="0"/>
    </w:pPr>
  </w:style>
  <w:style w:type="paragraph" w:styleId="662">
    <w:name w:val="Абзац списка"/>
    <w:basedOn w:val="524"/>
    <w:next w:val="559"/>
    <w:link w:val="524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63">
    <w:name w:val="Нижний колонтитул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tabs>
        <w:tab w:val="center" w:pos="4677" w:leader="none"/>
        <w:tab w:val="right" w:pos="9355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2022-12-28T07:15:08Z</dcterms:modified>
</cp:coreProperties>
</file>