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05D7" w:rsidTr="00C93BE4">
        <w:tc>
          <w:tcPr>
            <w:tcW w:w="4785" w:type="dxa"/>
          </w:tcPr>
          <w:p w:rsidR="00FC05D7" w:rsidRDefault="00FC05D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FC05D7" w:rsidRDefault="00FC05D7" w:rsidP="00FC05D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 </w:t>
            </w:r>
          </w:p>
          <w:p w:rsidR="00FC05D7" w:rsidRDefault="00FC05D7" w:rsidP="00FC05D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решением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Общественного совета </w:t>
            </w:r>
          </w:p>
          <w:p w:rsidR="00FC05D7" w:rsidRDefault="00FC05D7" w:rsidP="00FC05D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Минпросвещения КБР </w:t>
            </w:r>
          </w:p>
          <w:p w:rsidR="00FC05D7" w:rsidRDefault="00C93BE4" w:rsidP="00C93B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27.02.2023 г.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протокол № 1</w:t>
            </w:r>
          </w:p>
        </w:tc>
      </w:tr>
    </w:tbl>
    <w:p w:rsidR="00FC05D7" w:rsidRDefault="00FC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5BC8" w:rsidRDefault="00AF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5BC8" w:rsidRDefault="00FE1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клад </w:t>
      </w:r>
    </w:p>
    <w:p w:rsidR="00AF5BC8" w:rsidRDefault="00FE1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организации системы внутреннего обеспечения соответствия деятельности Министерства просвещения и науки </w:t>
      </w:r>
      <w:r>
        <w:rPr>
          <w:rFonts w:ascii="Times New Roman" w:eastAsia="Times New Roman" w:hAnsi="Times New Roman" w:cs="Times New Roman"/>
          <w:b/>
          <w:sz w:val="28"/>
        </w:rPr>
        <w:br/>
        <w:t>Кабардино-Балкарской Республики требованиям антимонопольного законодательства (антимонопольного комплаенса)</w:t>
      </w:r>
    </w:p>
    <w:p w:rsidR="00AF5BC8" w:rsidRDefault="00AF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Методическими рек</w:t>
      </w:r>
      <w:r>
        <w:rPr>
          <w:rFonts w:ascii="Times New Roman" w:eastAsia="Times New Roman" w:hAnsi="Times New Roman" w:cs="Times New Roman"/>
          <w:sz w:val="28"/>
        </w:rPr>
        <w:t xml:space="preserve">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</w:t>
      </w:r>
      <w:r>
        <w:rPr>
          <w:rFonts w:ascii="Times New Roman" w:eastAsia="Times New Roman" w:hAnsi="Times New Roman" w:cs="Times New Roman"/>
          <w:sz w:val="28"/>
        </w:rPr>
        <w:t xml:space="preserve">г. № 2258-р, приказом Минпросвещения КБР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от 21.02.2019 г. № 204 «Об организации системы внутреннего обеспечения соответствия требованиям антимонопольного законодательства в Министерстве просвещения, науки и по делам молодежи Кабардино-Балкарской Республики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 xml:space="preserve"> (антимонопольного комплаенса)» утверждено Положение об организации системы внутреннего обеспечения соответствия требованиям антимонопольного законодательства в Министерстве просвещения, науки и по делам молодежи Кабардино-Балкарской Республики (антимонопо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льного комплаенса)  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(далее - Методические рекомендации, Положение, Минпросвещения КБР).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Указанный акт размещен на официальном сайте Минпросвещения КБР (далее - официальный сайт). Сектором по вопросам противодействия коррупции осуществлено ознакомление госу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дарственных гражданских служащих Минпросвещения КБР с Положением.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Согласно Положению функции </w:t>
      </w:r>
      <w:r>
        <w:rPr>
          <w:rFonts w:ascii="Times New Roman" w:eastAsia="Times New Roman" w:hAnsi="Times New Roman" w:cs="Times New Roman"/>
          <w:color w:val="000000"/>
          <w:sz w:val="28"/>
        </w:rPr>
        <w:t>уполномоченного подразделения, связанные с организацией и функционированием антимонопольного комплаенса, возлагаются на Рабочую группу, а коллегиальным органом, ос</w:t>
      </w:r>
      <w:r>
        <w:rPr>
          <w:rFonts w:ascii="Times New Roman" w:eastAsia="Times New Roman" w:hAnsi="Times New Roman" w:cs="Times New Roman"/>
          <w:color w:val="000000"/>
          <w:sz w:val="28"/>
        </w:rPr>
        <w:t>уществляющим оценку эффективности организации и функционирования антимонопольного комплаенса в Минпросвещения КБР определен Общественный совет при Минпросвещения КБР.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целях реализации мероприятий, направленных на эффективное функционирование антимонополь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ного комплаенса в Минпросвещения КБР приказом Минпросвещения КБР</w:t>
      </w:r>
      <w:r>
        <w:rPr>
          <w:rFonts w:ascii="PT Sans" w:eastAsia="PT Sans" w:hAnsi="PT Sans" w:cs="PT Sans"/>
          <w:color w:val="000000" w:themeColor="text1"/>
          <w:sz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от 12.07.2021 г.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 xml:space="preserve"> № 22/655  «Об утверждении карты комплаенс-рисков, плана мероприятий по снижению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lastRenderedPageBreak/>
        <w:t>рисков нарушения антимонопольного законодательства (комплаенс-рисков) и ключевых показателей эффективности функционирования антимонопольного комплаенса в Министерстве просвеще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ния, науки и по делам молодежи КБР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»: утверждены: карта комплаенс рисков, план мероприятий по снижению комплаенс-рисков и ключевые показатели эффективности функционирования антимонопольного комплаенса в Минпросвещения КБР.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По итогам 2021 года Рабочей группо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й осуществлен комплекс мероприятий, предусмотренных Положением и направленных на выявление и оценку рисков нарушения антимонопольного законодательства (комплаенс-риски), а именно: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 структурных подразделений Минпросвещения КБР запрошена и проанализирована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информация о нарушениях антимонопольного законодательства со стороны Минпросвещения КБР за период с 2019-2021 гг. и сведения о возможных комплаенс-рисках, причинах и условиях их возникновения, предложения по их минимизации и устранению;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проведена работа п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 разъяснению сотрудникам Минпросвещения КБР основных требований антимонопольного законодательства и антимонопольного комплаенса и необходимость их соблюдения в процессе деятельности.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целях проведения оценки комплаенс-рисков Рабочей группой проведен анал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из факторов, которые влияют либо могут оказать влияние на совершение нарушений.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согласно Карте комплаенс-рисков нарушения антимонопольного комплаенса возможны в следующих сферах деятельности Минпросвещения КБР: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разработка нормативных-правовых актов и их пр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оектов;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осуществление закупок товаров, работ, услуг для обеспечения государственных нужд.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качестве ключевых источников информации для выявления комплаенс-рисков в соответствии с Методическими рекомендациями использовалась информация о нарушениях антимоно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польного законодательства, которые были допущены Министерством за предыдущие 3 года, информация, полученная в ходе проводимого анализа НПА и их проектов, разработанных Минпросвещения КБР.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При проведении анализа нарушений антимонопольного законодательства в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деятельности Минпросвещения КБР Рабочей группой проанализированы данные, поступившие в рабочем порядке от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структурных подразделений Минпросвещения КБР о наиболее вероятных нарушениях антимонопольного законодательства за 2021 гг.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По результатам проведенног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 анализа сделан вывод, что в указанный период со стороны Управления Федеральной антимонопольной службы по КБР (далее - УФАС по КБР):</w:t>
      </w:r>
    </w:p>
    <w:p w:rsidR="00AF5BC8" w:rsidRDefault="00FE1093">
      <w:pPr>
        <w:spacing w:after="0"/>
        <w:ind w:right="284" w:firstLine="85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подано 12 жалоб участников закупки, 6 из которых признаны обоснованными, выдано 6 предписаний.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Кроме того, министерством проводятся мероприятия по профессиональному развитию в области противодействия коррупции государственных гражданских служащих и работников, в должностные обязанности которых входит участие в проведении закупок товаров, работ, услу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г для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коррупции. 2 государственных гражданских служащих, в чьи должностные обязанности  входит участие в прове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дении закупок товаров, работ, услуг для обеспечения государственных и муниципальных нужд, в 3 квартале 2022 г. прошли повышение квалификации по программе «Антикоррупционное поведение государственных гражданских служащих: правовые, экономические и психологи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ческие аспекты».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Нормативных правовых актов, разработанных и принятых Минпросвещения КБР, в которых УФАС по КБР выявлены нарушения антимонопольного законодательства нет.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целях снижения рисков нарушения антимонопольного законодательства в деятельности Мин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просвещения КБР Рабочей группой утвержден План мероприятий по снижению рисков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антимонопольного законодательства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(комплаенс-рисков) в Минпросвещения КБР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мероприятий в разрезе каждого комплаенс-риска согласно карте комплаенс-рисков Минпросве</w:t>
      </w:r>
      <w:r>
        <w:rPr>
          <w:rFonts w:ascii="Times New Roman" w:eastAsia="Times New Roman" w:hAnsi="Times New Roman" w:cs="Times New Roman"/>
          <w:sz w:val="28"/>
          <w:szCs w:val="28"/>
        </w:rPr>
        <w:t>щения КБР содержит следующую информацию:</w:t>
      </w:r>
    </w:p>
    <w:p w:rsidR="00AF5BC8" w:rsidRDefault="00FE1093">
      <w:pPr>
        <w:spacing w:after="0"/>
        <w:ind w:right="284" w:firstLine="8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мероприятия;</w:t>
      </w:r>
    </w:p>
    <w:p w:rsidR="00AF5BC8" w:rsidRDefault="00FE1093">
      <w:pPr>
        <w:spacing w:after="0"/>
        <w:ind w:right="284" w:firstLine="8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 действий;</w:t>
      </w:r>
    </w:p>
    <w:p w:rsidR="00AF5BC8" w:rsidRDefault="00FE1093">
      <w:pPr>
        <w:spacing w:after="0"/>
        <w:ind w:right="284" w:firstLine="8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ожидаемый результат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AF5BC8" w:rsidRDefault="00FE1093">
      <w:pPr>
        <w:spacing w:after="0"/>
        <w:ind w:right="284" w:firstLine="8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реализации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мероприятиям, направленным на минимизацию и устранение комплаенс-рисков относятся: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предотвращение нарушений антимонопольного законодательства при осуществлении закупок товаров, работ, услуг для обеспечения государственных нужд;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устранение нарушений антимонопольного законодательства в нормативных правовых актах Минпросвещения КБР.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Показат</w:t>
      </w:r>
      <w:r>
        <w:rPr>
          <w:rFonts w:ascii="Times New Roman" w:eastAsia="Times New Roman" w:hAnsi="Times New Roman" w:cs="Times New Roman"/>
          <w:sz w:val="28"/>
        </w:rPr>
        <w:t>ели эффективности функционирования антимонопольного комплаенса в Минпросвещения КБР разработаны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</w:t>
      </w:r>
      <w:r>
        <w:rPr>
          <w:rFonts w:ascii="Times New Roman" w:eastAsia="Times New Roman" w:hAnsi="Times New Roman" w:cs="Times New Roman"/>
          <w:sz w:val="28"/>
        </w:rPr>
        <w:t xml:space="preserve">твержденной приказом ФАС России </w:t>
      </w:r>
      <w:r>
        <w:rPr>
          <w:rFonts w:ascii="Times New Roman" w:eastAsia="Times New Roman" w:hAnsi="Times New Roman" w:cs="Times New Roman"/>
          <w:sz w:val="28"/>
        </w:rPr>
        <w:br/>
        <w:t>от 5 февраля 2019 г. № 133/19, и утверждены приказом Минпросвещения КБР.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Минпросвещения КБР в целом ключевыми показателями эффективности являются: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доля сотрудников Минпросвещения КБР, в отношении которых были проведе</w:t>
      </w:r>
      <w:r>
        <w:rPr>
          <w:rFonts w:ascii="Times New Roman" w:eastAsia="Times New Roman" w:hAnsi="Times New Roman" w:cs="Times New Roman"/>
          <w:sz w:val="28"/>
        </w:rPr>
        <w:t>ны обучающие мероприятия по антимонопольному законодательству и антимонопольному комплаенсу;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коэффициент снижения количества нарушений антимонопольного законодательства со стороны Минпросвещения КБР (по сравнению с предыдущим годом);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</w:rPr>
        <w:t>доля нпа Минпрос</w:t>
      </w:r>
      <w:r>
        <w:rPr>
          <w:rFonts w:ascii="Times New Roman" w:eastAsia="Times New Roman" w:hAnsi="Times New Roman" w:cs="Times New Roman"/>
          <w:sz w:val="28"/>
        </w:rPr>
        <w:t>вещения КБР, в которых выявлены риски нарушения антимонопольного законодательства;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доля</w:t>
      </w:r>
      <w:r>
        <w:rPr>
          <w:rFonts w:ascii="Times New Roman" w:eastAsia="Times New Roman" w:hAnsi="Times New Roman" w:cs="Times New Roman"/>
          <w:sz w:val="28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</w:rPr>
        <w:t xml:space="preserve"> нпа Минпросвещения КБР, </w:t>
      </w:r>
      <w:r>
        <w:rPr>
          <w:rFonts w:ascii="Times New Roman" w:eastAsia="Times New Roman" w:hAnsi="Times New Roman" w:cs="Times New Roman"/>
          <w:sz w:val="28"/>
        </w:rPr>
        <w:t>в которых выявлены риски нарушения антимонопольного законодательства.</w:t>
      </w:r>
    </w:p>
    <w:p w:rsidR="00AF5BC8" w:rsidRDefault="00FE1093">
      <w:pPr>
        <w:spacing w:after="0"/>
        <w:ind w:right="28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приказу значения ключевых показателей эффективности д</w:t>
      </w:r>
      <w:r>
        <w:rPr>
          <w:rFonts w:ascii="Times New Roman" w:eastAsia="Times New Roman" w:hAnsi="Times New Roman" w:cs="Times New Roman"/>
          <w:sz w:val="28"/>
        </w:rPr>
        <w:t>ля Минпросвещения КБР в целом, равные 0, приравниваются к 20 баллам. Суммарное количество баллов по 4 ключевым показателям эффективности за отчетный период составило 50 баллов, что свидетельствует о существенной эффективности функционирования антимонопольн</w:t>
      </w:r>
      <w:r>
        <w:rPr>
          <w:rFonts w:ascii="Times New Roman" w:eastAsia="Times New Roman" w:hAnsi="Times New Roman" w:cs="Times New Roman"/>
          <w:sz w:val="28"/>
        </w:rPr>
        <w:t xml:space="preserve">ого комплаенса в Минпросвещения КБР в целом. </w:t>
      </w:r>
    </w:p>
    <w:p w:rsidR="00AF5BC8" w:rsidRDefault="00FE109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F5BC8" w:rsidSect="00C93BE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93" w:rsidRDefault="00FE1093">
      <w:pPr>
        <w:spacing w:after="0" w:line="240" w:lineRule="auto"/>
      </w:pPr>
      <w:r>
        <w:separator/>
      </w:r>
    </w:p>
  </w:endnote>
  <w:endnote w:type="continuationSeparator" w:id="0">
    <w:p w:rsidR="00FE1093" w:rsidRDefault="00FE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93" w:rsidRDefault="00FE1093">
      <w:pPr>
        <w:spacing w:after="0" w:line="240" w:lineRule="auto"/>
      </w:pPr>
      <w:r>
        <w:separator/>
      </w:r>
    </w:p>
  </w:footnote>
  <w:footnote w:type="continuationSeparator" w:id="0">
    <w:p w:rsidR="00FE1093" w:rsidRDefault="00FE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207827"/>
      <w:docPartObj>
        <w:docPartGallery w:val="Page Numbers (Top of Page)"/>
        <w:docPartUnique/>
      </w:docPartObj>
    </w:sdtPr>
    <w:sdtContent>
      <w:p w:rsidR="00C93BE4" w:rsidRDefault="00C93B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E8">
          <w:rPr>
            <w:noProof/>
          </w:rPr>
          <w:t>4</w:t>
        </w:r>
        <w:r>
          <w:fldChar w:fldCharType="end"/>
        </w:r>
      </w:p>
    </w:sdtContent>
  </w:sdt>
  <w:p w:rsidR="00C93BE4" w:rsidRDefault="00C93B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67C4A"/>
    <w:multiLevelType w:val="hybridMultilevel"/>
    <w:tmpl w:val="04081D48"/>
    <w:lvl w:ilvl="0" w:tplc="A97CACC2">
      <w:start w:val="1"/>
      <w:numFmt w:val="decimal"/>
      <w:lvlText w:val="%1."/>
      <w:lvlJc w:val="left"/>
    </w:lvl>
    <w:lvl w:ilvl="1" w:tplc="27D6A326">
      <w:start w:val="1"/>
      <w:numFmt w:val="lowerLetter"/>
      <w:lvlText w:val="%2."/>
      <w:lvlJc w:val="left"/>
      <w:pPr>
        <w:ind w:left="1440" w:hanging="360"/>
      </w:pPr>
    </w:lvl>
    <w:lvl w:ilvl="2" w:tplc="58E0143A">
      <w:start w:val="1"/>
      <w:numFmt w:val="lowerRoman"/>
      <w:lvlText w:val="%3."/>
      <w:lvlJc w:val="right"/>
      <w:pPr>
        <w:ind w:left="2160" w:hanging="180"/>
      </w:pPr>
    </w:lvl>
    <w:lvl w:ilvl="3" w:tplc="56FC56B8">
      <w:start w:val="1"/>
      <w:numFmt w:val="decimal"/>
      <w:lvlText w:val="%4."/>
      <w:lvlJc w:val="left"/>
      <w:pPr>
        <w:ind w:left="2880" w:hanging="360"/>
      </w:pPr>
    </w:lvl>
    <w:lvl w:ilvl="4" w:tplc="56207360">
      <w:start w:val="1"/>
      <w:numFmt w:val="lowerLetter"/>
      <w:lvlText w:val="%5."/>
      <w:lvlJc w:val="left"/>
      <w:pPr>
        <w:ind w:left="3600" w:hanging="360"/>
      </w:pPr>
    </w:lvl>
    <w:lvl w:ilvl="5" w:tplc="98A09ABC">
      <w:start w:val="1"/>
      <w:numFmt w:val="lowerRoman"/>
      <w:lvlText w:val="%6."/>
      <w:lvlJc w:val="right"/>
      <w:pPr>
        <w:ind w:left="4320" w:hanging="180"/>
      </w:pPr>
    </w:lvl>
    <w:lvl w:ilvl="6" w:tplc="B6F0BB66">
      <w:start w:val="1"/>
      <w:numFmt w:val="decimal"/>
      <w:lvlText w:val="%7."/>
      <w:lvlJc w:val="left"/>
      <w:pPr>
        <w:ind w:left="5040" w:hanging="360"/>
      </w:pPr>
    </w:lvl>
    <w:lvl w:ilvl="7" w:tplc="B0461420">
      <w:start w:val="1"/>
      <w:numFmt w:val="lowerLetter"/>
      <w:lvlText w:val="%8."/>
      <w:lvlJc w:val="left"/>
      <w:pPr>
        <w:ind w:left="5760" w:hanging="360"/>
      </w:pPr>
    </w:lvl>
    <w:lvl w:ilvl="8" w:tplc="6AACC0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C8"/>
    <w:rsid w:val="004530F6"/>
    <w:rsid w:val="007D4FE8"/>
    <w:rsid w:val="00AF5BC8"/>
    <w:rsid w:val="00C93BE4"/>
    <w:rsid w:val="00DE741D"/>
    <w:rsid w:val="00FC05D7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74D45-8D70-424E-8F9D-5C1A9DF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2</cp:revision>
  <dcterms:created xsi:type="dcterms:W3CDTF">2024-02-21T13:08:00Z</dcterms:created>
  <dcterms:modified xsi:type="dcterms:W3CDTF">2024-02-21T13:08:00Z</dcterms:modified>
</cp:coreProperties>
</file>