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4743" w:type="dxa"/>
        <w:tblInd w:w="-142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8"/>
        <w:gridCol w:w="3684"/>
        <w:gridCol w:w="1588"/>
        <w:gridCol w:w="1386"/>
        <w:gridCol w:w="996"/>
        <w:gridCol w:w="992"/>
        <w:gridCol w:w="2462"/>
        <w:gridCol w:w="3067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56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7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14175" w:type="dxa"/>
            <w:textDirection w:val="lrTb"/>
            <w:noWrap w:val="false"/>
          </w:tcPr>
          <w:p>
            <w:pPr>
              <w:ind w:right="675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ind w:right="675"/>
              <w:jc w:val="center"/>
              <w:spacing w:lineRule="exact" w:line="28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исполнению </w:t>
            </w:r>
            <w:r/>
          </w:p>
          <w:p>
            <w:pPr>
              <w:ind w:right="675"/>
              <w:jc w:val="center"/>
              <w:spacing w:lineRule="exact" w:line="28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по реализации антикоррупционной политики в сфере деятельности   </w:t>
            </w:r>
            <w:r/>
          </w:p>
          <w:p>
            <w:pPr>
              <w:ind w:right="675"/>
              <w:jc w:val="center"/>
              <w:spacing w:lineRule="exact" w:line="28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просвещения, науки и по делам молодежи Кабардино-Балкарской Республики </w:t>
            </w:r>
            <w:r/>
          </w:p>
          <w:p>
            <w:pPr>
              <w:ind w:right="675"/>
              <w:jc w:val="center"/>
              <w:spacing w:lineRule="exact" w:line="28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2021 - 2025 годы за 1 квартал 2021 г.</w:t>
            </w:r>
            <w:r/>
          </w:p>
          <w:p>
            <w:pPr>
              <w:pStyle w:val="491"/>
              <w:ind w:right="6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sz="4" w:space="0" w:color="auto"/>
            </w:tcBorders>
            <w:tcW w:w="568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sz="4" w:space="0" w:color="auto"/>
            </w:tcBorders>
            <w:tcW w:w="3684" w:type="dxa"/>
            <w:textDirection w:val="lrTb"/>
            <w:noWrap w:val="false"/>
          </w:tcPr>
          <w:p>
            <w:pPr>
              <w:pStyle w:val="491"/>
              <w:jc w:val="center"/>
              <w:rPr>
                <w:rFonts w:ascii="Times New Roman" w:hAnsi="Times New Roman" w:cs="Times New Roman" w:eastAsia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  <w:szCs w:val="24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 w:eastAsia="Times New Roman"/>
                <w:b/>
                <w:sz w:val="28"/>
              </w:rPr>
            </w:r>
          </w:p>
        </w:tc>
        <w:tc>
          <w:tcPr>
            <w:gridSpan w:val="6"/>
            <w:tcBorders>
              <w:top w:val="single" w:sz="4" w:space="0" w:color="auto"/>
            </w:tcBorders>
            <w:tcW w:w="104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</w:rPr>
              <w:t xml:space="preserve">Исполнение</w:t>
            </w:r>
            <w:r>
              <w:rPr>
                <w:rFonts w:ascii="Times New Roman" w:hAnsi="Times New Roman" w:cs="Times New Roman" w:eastAsia="Times New Roman"/>
                <w:b/>
                <w:sz w:val="28"/>
              </w:rPr>
            </w:r>
          </w:p>
        </w:tc>
      </w:tr>
      <w:tr>
        <w:trPr/>
        <w:tc>
          <w:tcPr>
            <w:tcBorders>
              <w:top w:val="single" w:sz="4" w:space="0" w:color="auto"/>
            </w:tcBorders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sz="4" w:space="0" w:color="auto"/>
            </w:tcBorders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и проектов нормативных правовых актов Минпросвещения КБР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последующее размещение на официальном сайте министерства для проведения независимой экспертизы </w:t>
            </w:r>
            <w:r/>
          </w:p>
        </w:tc>
        <w:tc>
          <w:tcPr>
            <w:gridSpan w:val="6"/>
            <w:tcBorders>
              <w:top w:val="single" w:sz="4" w:space="0" w:color="auto"/>
            </w:tcBorders>
            <w:tcW w:w="10491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Антикоррупционная экспертиза нормативных правовых актов Минпросвещения КБР проводится в соответствии с приказом Министерства просвещения, науки и по делам молодежи Кабардино-Балкарской Рес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публики от 28.12.2018 г.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 № 993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За 1 квартал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2021 года проведена антикоррупционная экспертиза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7 нормативных правовых актов. Коррупциогенные факторы в нормативных правовых актах не выявлены. Все нормативные правовые акты  и их проекты своевременно направлены в Прокуратуру КБР и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Управление Министерства юстиции Российской Федерации по Кабардино-Балкарской Республике, получены заключения без замечаний о содержании коррупциогенных факторов.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jc w:val="both"/>
              <w:spacing w:lineRule="auto" w:line="24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актуальном состоянии информации, размещенной на информационных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ендах в министерстве (в том числе контактные данные лиц, ответственных за организацию деятельности по противодействию коррупции в ИОГВ и ОМС, телефонов антикоррупционных линий Администрации Главы Кабардино-Балкарской Республики, правоохранительных органов)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В 1 квартале актуализирована информация на информационном стенде, посвященном противодействию коррупции, размещены новые методические материалы, План мероприятий по реализации антикоррупционной политики.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На информационном стенде Минпросвещения КБР размещены актуальные телефоны антикоррупционных линий, в том числе Администрации Главы КБР, правоохранительных органов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Кроме того, систематически размещается актуальная информация о проводимой в министерстве работе по вопросам профилактики коррупции, об ответственности за совершение коррупционных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правонарушений, результаты тестирования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государственных гражданских служащих Минпрос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веще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ния КБР на знание антикоррупционного законодательства, требований к служебному поведению.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 25 подведомственных образовательных организациях систематически актуализируется информация на аналогичных стендах.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информационно-методических семинаров на тему противодействия коррупции для государственных гражданских служащих Минпросвещения КБР 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shd w:val="clear" w:fill="EBEBEB" w:color="EBEBEB"/>
              <w:rPr>
                <w:rFonts w:ascii="Times New Roman" w:hAnsi="Times New Roman" w:cs="Times New Roman" w:eastAsia="Times New Roman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26 февраля 2021 г. с целью оказания просветительской и консультативной помощи при заполнении сведений о доходах, расходах, об имуществе и обязательствах имущественного характера в Минпросвещения КБР состоялся семинар на тему: "Актуальные вопросы представле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ния справок о доходах, расходах, об имуществе и обязательствах имущественного характера за 2021 г. (отчётный 2020 г.)" для государственных гражданских служащих Минпросвещения КБР и руководителей подведомственных образовательных учреждений. 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shd w:val="clear" w:fill="EBEBEB" w:color="EBEBEB"/>
              <w:rPr>
                <w:rFonts w:ascii="Times New Roman" w:hAnsi="Times New Roman" w:cs="Times New Roman" w:eastAsia="Times New Roman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В работе семинара принял участие прокурор отдела надзора за исполнением законодательства о противодействии коррупции Прокуратуры КБР Созаев Тахир Махмутович. Прокурор осветил вопросы об изменениях в форме "Справка БК", подчеркнул моменты, которым необходим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о уделить внимание при заполнении документов, рассказал о наиболее часто встречающихся ошибках, которые при заполнении допускаются государственными служащими и руководителями подведомственных образовательных учреждений, ответил на вопросы аудитории.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системных мер, направленных на выявление и снижение рисков коррупционных проявлений в сфере образования, государственных закупок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</w:rPr>
              <w:t xml:space="preserve">Сектором по вопросам противодействия коррупции Министерства в целях активизации профилактической работы в отношении должностных лиц, участвующих в решении вопросов субсидирования и иного использования бюдж</w:t>
            </w:r>
            <w:r>
              <w:rPr>
                <w:rFonts w:ascii="Times New Roman" w:hAnsi="Times New Roman" w:cs="Times New Roman"/>
                <w:sz w:val="24"/>
              </w:rPr>
              <w:t xml:space="preserve">етных</w:t>
            </w:r>
            <w:r>
              <w:rPr>
                <w:rFonts w:ascii="Times New Roman" w:hAnsi="Times New Roman" w:cs="Times New Roman"/>
                <w:sz w:val="24"/>
              </w:rPr>
              <w:t xml:space="preserve"> средств, во 2 квартале 2021 году планируется проведение специализированного углубленного тренинга с государственными гражданскими служащими, в должностные обязанности которых входит решение вопросов субсидирования и иного использования бюджетных средств. </w:t>
            </w:r>
            <w:r>
              <w:rPr>
                <w:sz w:val="24"/>
              </w:rPr>
              <w:t xml:space="preserve">Выделены основные вопросы: </w:t>
            </w:r>
            <w:r>
              <w:rPr>
                <w:rFonts w:ascii="Times New Roman" w:hAnsi="Times New Roman" w:cs="Times New Roman"/>
                <w:sz w:val="24"/>
              </w:rPr>
              <w:t xml:space="preserve">коррупционные риски в системе гоударственных закупок; </w:t>
            </w:r>
            <w:r>
              <w:rPr>
                <w:rFonts w:ascii="Times New Roman" w:hAnsi="Times New Roman" w:cs="Times New Roman"/>
                <w:sz w:val="24"/>
              </w:rPr>
              <w:t xml:space="preserve">аффилированость при госзакупках; </w:t>
            </w:r>
            <w:r>
              <w:rPr>
                <w:rFonts w:ascii="Times New Roman" w:hAnsi="Times New Roman" w:cs="Times New Roman"/>
                <w:sz w:val="24"/>
              </w:rPr>
              <w:t xml:space="preserve">правовые меры, направленные на противодействие злоупотреблению в сфере госзакупок; </w:t>
            </w:r>
            <w:r>
              <w:rPr>
                <w:rFonts w:ascii="Times New Roman" w:hAnsi="Times New Roman" w:cs="Times New Roman"/>
                <w:sz w:val="24"/>
              </w:rPr>
              <w:t xml:space="preserve">конфликт интересов при госзакупках; </w:t>
            </w:r>
            <w:r>
              <w:rPr>
                <w:rFonts w:ascii="Times New Roman" w:hAnsi="Times New Roman" w:cs="Times New Roman"/>
                <w:sz w:val="24"/>
              </w:rPr>
              <w:t xml:space="preserve">порядок уведомления представителя нанимателя об обращениях </w:t>
            </w:r>
            <w:r>
              <w:rPr>
                <w:rFonts w:ascii="Times New Roman" w:hAnsi="Times New Roman" w:cs="Times New Roman"/>
                <w:sz w:val="24"/>
              </w:rPr>
              <w:t xml:space="preserve">с целью склонения государственного гражданского служащего Министерства к совершению коррупционного правонарушения. 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</w:rPr>
              <w:t xml:space="preserve">Приказом Министерства от 21 февраля 2019 г. № 204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«Об организации системы внутреннего обеспечения соответствия требованиям антимонопольного законодательства в Ми</w:t>
            </w:r>
            <w:r>
              <w:rPr>
                <w:rFonts w:ascii="Times New Roman" w:hAnsi="Times New Roman" w:cs="Times New Roman"/>
                <w:sz w:val="24"/>
              </w:rPr>
              <w:t xml:space="preserve">нистерстве просвещения, науки и по делам молодежи Кабардино-Балкарской Республики» утверждены Положение об организации системы внутреннего обеспечения соответствия требованиям антимонопольного законодательства Российской Федерации и состав рабочей группы. 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</w:rPr>
              <w:t xml:space="preserve">При заключении договоров и контрактов, одной из сторон которых является Министерство, конкурсная документация и договоры проходят процедуру согласования и визирования с заведующим сектором по вопросам противодействия коррупции Министерства. 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 профилактики коррупции, ориентированных на снижение коррупционных рисков и обеспечение открытости власти, в том числе при реализации министерством  лицензионно-разрешительных полномочий, осуществлении контрольно-надзорных функций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pStyle w:val="491"/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На официальном сайте Управления по надзору и контролю в сфере образования систематически в доступной форме р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азмещается актуальная информация об осуществлении органом госвласти субъекта РФ полномочий Российской Федерации в сфере образования (переданные полномочия), а также информация об осуществлении контрольно-надзорных функций в сфере образования (кбрнадзор.рф)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. С целью снижения коррупционных рисков и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обеспечения открытости власти государственная услуга «Лицензирование и государственная аккредитация» оказываются в электронном виде и предоставляются через федеральную информационную систему «Единый портал государственных и муниципальных услуг (функций)».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Отдел лицензирования и государственной аккредитации Министерства просвещения, науки и по делам молодежи Кабардино-Балкарской Республики оказывает следующие государственные услуги: «Лицензирование образовательной деятельности», </w:t>
            </w:r>
            <w:r>
              <w:rPr>
                <w:rFonts w:ascii="Times New Roman" w:hAnsi="Times New Roman" w:cs="Times New Roman"/>
                <w:sz w:val="24"/>
              </w:rPr>
              <w:t xml:space="preserve">«Государственная аккредитация образовательной деятельности», «Подтверждение документов об образовании и квалификации», «Подтверждение документов об ученых степенях, ученых званиях».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pStyle w:val="1_2877"/>
              <w:ind w:left="142" w:right="221" w:firstLine="0"/>
              <w:jc w:val="both"/>
              <w:spacing w:lineRule="auto" w:line="240"/>
            </w:pPr>
            <w:r>
              <w:rPr>
                <w:b w:val="false"/>
                <w:sz w:val="24"/>
                <w:szCs w:val="22"/>
              </w:rPr>
              <w:t xml:space="preserve">Информация о порядке лицензирования образовательной деят</w:t>
            </w:r>
            <w:r>
              <w:rPr>
                <w:b w:val="false"/>
                <w:sz w:val="24"/>
                <w:szCs w:val="22"/>
              </w:rPr>
              <w:t xml:space="preserve">ельности, нормативные документы, формы заявления и прилагаемых к нему документов, сводный реестр лицензий, приказы о прекращении действия лицензии, справочная информация, сведения о ходе предоставления государственной услуги размещены на официальном сайте </w:t>
            </w:r>
            <w:r>
              <w:rPr>
                <w:b w:val="false"/>
                <w:bCs/>
                <w:sz w:val="24"/>
                <w:szCs w:val="22"/>
              </w:rPr>
              <w:t xml:space="preserve">Минпросвещения КБР </w:t>
            </w:r>
            <w:r>
              <w:rPr>
                <w:b w:val="false"/>
                <w:sz w:val="24"/>
                <w:szCs w:val="22"/>
              </w:rPr>
              <w:t xml:space="preserve">в информационно-телекоммуникационной сети «Интернет»: </w:t>
            </w:r>
            <w:r>
              <w:rPr>
                <w:b w:val="false"/>
                <w:bCs/>
                <w:sz w:val="24"/>
                <w:szCs w:val="22"/>
              </w:rPr>
              <w:t xml:space="preserve">https://www.edukbr.ru/ → Направления деятельности → Исполнение переданных полномочий в сфере образования → Лицензирование образовательной деятельности.</w:t>
            </w:r>
            <w:r>
              <w:rPr>
                <w:sz w:val="24"/>
              </w:rPr>
            </w:r>
            <w:r/>
          </w:p>
          <w:p>
            <w:pPr>
              <w:pStyle w:val="31"/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1 января 2021 года в соответствии с </w:t>
            </w:r>
            <w:r>
              <w:rPr>
                <w:rFonts w:ascii="Times New Roman" w:hAnsi="Times New Roman" w:cs="Times New Roman"/>
                <w:sz w:val="24"/>
              </w:rPr>
              <w:t xml:space="preserve">Федеральным законом от 27 декабря </w:t>
            </w:r>
            <w:r>
              <w:rPr>
                <w:rFonts w:ascii="Times New Roman" w:hAnsi="Times New Roman" w:cs="Times New Roman"/>
                <w:sz w:val="24"/>
              </w:rPr>
              <w:t xml:space="preserve">2019 г. № 478-ФЗ «О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деятельности» предусмотрен приоритет подачи заявлений о </w:t>
            </w:r>
            <w:r>
              <w:rPr>
                <w:rStyle w:val="1_2878"/>
                <w:rFonts w:ascii="Times New Roman" w:hAnsi="Times New Roman" w:cs="Times New Roman"/>
                <w:sz w:val="24"/>
              </w:rPr>
              <w:t xml:space="preserve">предоставлении (переоформлении) лицензий в электронной форме.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pStyle w:val="1_2880"/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2"/>
              </w:rPr>
              <w:t xml:space="preserve">Пр</w:t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2"/>
              </w:rPr>
              <w:t xml:space="preserve">и предоставлении государственной услуги от заявителей не требуются документы, подтверждение которых Минпросвещения КБР получает в рамках межведомственного взаимодействия с Федеральной налоговой службой по Кабардино-Балкарской Республики,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Управлением Федеральной службы по надзору в сфере защиты прав потребителей и благополучия человека по Кабардино-Балкарской Республике Управлением</w:t>
            </w:r>
            <w:r>
              <w:rPr>
                <w:rStyle w:val="1_2879"/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Федерального казначейства по Кабардино-Балкарской Республике.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/>
          </w:p>
          <w:p>
            <w:pPr>
              <w:pStyle w:val="1_2880"/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Сведения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о заявлении и прилагаемых к нему документах, о ходе и сроках рассмотрения документов, о проведении проверок, о результате рассмотрения заявления и принятии решения вносятся в информационную систему, обеспечивающую автоматизацию контрольно-надзорной деятель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ности за органами государственной власти субъектов Российской Федерации, исполняющими переданные полномочия Российской Федерации в сфере образования (ИС АКНДПП) и находятся под постоянным контролем Федеральной службы по надзору в сфере образования и науки.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  <w:highlight w:val="none"/>
              </w:rPr>
            </w:r>
            <w:r/>
          </w:p>
          <w:p>
            <w:pPr>
              <w:pStyle w:val="1_2880"/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  <w:highlight w:val="none"/>
              </w:rPr>
              <w:t xml:space="preserve">В 1 квартале 2021 г. отделом по надзору и контролю законодательства в сфере образования проведено 20 плановых комплексных проверок по федеральному государственному надзору в сфере образования, федеральному государственно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  <w:highlight w:val="none"/>
              </w:rPr>
              <w:t xml:space="preserve">му контролю качества образования, лицензионному контролю. Образовательным учреждениями вынесено 20 предписаний об устранении нарушений федерального законодательства в сфере образования. В отчетном периоде протоколов об административных правонарушений нет.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  <w:highlight w:val="none"/>
              </w:rPr>
            </w:r>
            <w:r/>
          </w:p>
          <w:p>
            <w:pPr>
              <w:pStyle w:val="1_2880"/>
              <w:numPr>
                <w:ilvl w:val="0"/>
                <w:numId w:val="0"/>
              </w:num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За отчетный период получено 29 заявлений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: 14 заявлений о предоставлении лицензии на осуществление образовательной деятельности, 15 заявлений о переоформлении лицензии и приложений. Все заявления поданы в электронном виде через ПГУ, что составило 100% от общего количества рассмотренных заявлений.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/>
          </w:p>
          <w:p>
            <w:pPr>
              <w:pStyle w:val="1_2880"/>
              <w:numPr>
                <w:ilvl w:val="0"/>
                <w:numId w:val="0"/>
              </w:num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Проведено 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8 документарных и 18 выездных проверок и составлены акты о соответствии соискателей лицензии и лицензиатов установленным требованиям. 2 запланированные проверки отменены в связи с отзывом заявления ГБПОУ «Кабардино-Балкарский сельскохозяйственный колледж».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/>
          </w:p>
          <w:p>
            <w:pPr>
              <w:pStyle w:val="1_2880"/>
              <w:numPr>
                <w:ilvl w:val="0"/>
                <w:numId w:val="0"/>
              </w:num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Принято 13 решений о  предоставлении лицензии на осуществление образовательной деятельности  и 11 решений о переоформлении лицензий на осуществление образовательной деятельности и приложений к ним.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/>
          </w:p>
          <w:p>
            <w:pPr>
              <w:pStyle w:val="1_2880"/>
              <w:numPr>
                <w:ilvl w:val="0"/>
                <w:numId w:val="0"/>
              </w:num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Заявителям направлены 24 выписок из реестра лицензий в форме электронного документа в личные кабинеты СИР ПГУ.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/>
          </w:p>
          <w:p>
            <w:pPr>
              <w:pStyle w:val="1_2880"/>
              <w:numPr>
                <w:ilvl w:val="0"/>
                <w:numId w:val="0"/>
              </w:num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ООО «Гермес»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 и ГБПОУ «Кабардино-Балкарский сельскохозяйственный колледж» заявления о предоставлении лицензии и переоформлении лицензии прилагаемые к нему документы возвращены по заявлению руководителей об отзыве заявления.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/>
          </w:p>
          <w:p>
            <w:pPr>
              <w:pStyle w:val="1_2880"/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В рамках предоставления государственной услуги по лицензированию образовательной деятельности осуществлялось межведомственное взаимодействие. Всего за отчетный период в различные ведомства направлены 79 запросов.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</w:r>
            <w:r/>
          </w:p>
          <w:p>
            <w:pPr>
              <w:pStyle w:val="1_2880"/>
              <w:numPr>
                <w:ilvl w:val="0"/>
                <w:numId w:val="0"/>
              </w:numPr>
              <w:ind w:left="142" w:right="221" w:firstLine="0"/>
              <w:jc w:val="both"/>
              <w:spacing w:lineRule="auto" w:line="240"/>
              <w:tabs>
                <w:tab w:val="left" w:pos="758" w:leader="none"/>
              </w:tabs>
              <w:rPr>
                <w:rFonts w:ascii="Times New Roman" w:hAnsi="Times New Roman" w:cs="Times New Roman" w:eastAsia="Times New Roman"/>
                <w:color w:val="auto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За отчетный период в рамках предоставления государственной услуги по государственной аккредитации образовательной деятельности получено — 2 заявления на переоформление свидетельства.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/>
          </w:p>
          <w:p>
            <w:pPr>
              <w:pStyle w:val="1_2880"/>
              <w:numPr>
                <w:ilvl w:val="0"/>
                <w:numId w:val="0"/>
              </w:numPr>
              <w:ind w:left="142" w:right="221" w:firstLine="0"/>
              <w:jc w:val="both"/>
              <w:spacing w:lineRule="auto" w:line="240"/>
              <w:tabs>
                <w:tab w:val="left" w:pos="758" w:leader="none"/>
              </w:tabs>
              <w:rPr>
                <w:rFonts w:ascii="Times New Roman" w:hAnsi="Times New Roman" w:cs="Times New Roman" w:eastAsia="Times New Roman"/>
                <w:color w:val="auto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Всего за отчетный период переоформлено 2 свидетельства о государственной аккредитации.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/>
          </w:p>
          <w:p>
            <w:pPr>
              <w:pStyle w:val="1_2880"/>
              <w:numPr>
                <w:ilvl w:val="0"/>
                <w:numId w:val="0"/>
              </w:numPr>
              <w:ind w:left="142" w:right="221" w:firstLine="0"/>
              <w:jc w:val="both"/>
              <w:spacing w:lineRule="auto" w:line="240"/>
              <w:tabs>
                <w:tab w:val="left" w:pos="758" w:leader="none"/>
              </w:tabs>
              <w:rPr>
                <w:rFonts w:ascii="Times New Roman" w:hAnsi="Times New Roman" w:cs="Times New Roman" w:eastAsia="Times New Roman"/>
                <w:color w:val="auto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Приостановлено действие государственной аккредитац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ии образовательной деятельности государственного бюджетного профессионального образовательного учреждения «Кабардино-Балкарский торгово-технологический колледж» сроком на 6 (шесть) месяцев на основании приказа Минпросвещения КБР от 1 марта 2021 г. №22/135.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/>
          </w:p>
          <w:p>
            <w:pPr>
              <w:pStyle w:val="31"/>
              <w:numPr>
                <w:ilvl w:val="0"/>
                <w:numId w:val="0"/>
              </w:num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В соответствии с постановлением Правительства Российской Федерации «О продлении действия разрешений и иных особенностях в отношении разрешительной деятельности в 2020 и 2021 годах» от 3 апреля 2020 г. №440 продлены сроки действия государственной аккредит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ации образовательной деятельности на 12 месяцев 4 учреждениям — ГБПОУ «Эльбрусский региональный колледж», ГБПОУ «Кабардино-Балкарский сельскохозяйственный колледж», ФКПОУ №214 Федеральной службы исполнения наказаний, ЧПОУ «Медицинский Колледж  «Призвание».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/>
          </w:p>
          <w:p>
            <w:pPr>
              <w:pStyle w:val="1_2880"/>
              <w:numPr>
                <w:ilvl w:val="0"/>
                <w:numId w:val="0"/>
              </w:num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За отчетный период поступило 5 заявлений на подтверждение документов  об образовании и (или) квалификации. С целью подтв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ерждения достоверности и подлинности представленных документов были направлены письменные запросы в 5 общеобразовательных учреждений и высших учебных заведений КБР и РФ. По результатам данной работы подтверждены 4 документа об образовании и о квалификации.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/>
          </w:p>
          <w:p>
            <w:pPr>
              <w:pStyle w:val="1_2880"/>
              <w:numPr>
                <w:ilvl w:val="0"/>
                <w:numId w:val="0"/>
              </w:num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000000"/>
              </w:rPr>
              <w:outlineLvl w:val="9"/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8"/>
              </w:rPr>
              <w:t xml:space="preserve">В связи с представлением ФБОУ ВО СОГУ информации о том, что заявленный документ об образовании  не выдавался лицу, указанному в нем в качестве его обладателя, информация с приложением оригинала этого документа направлена в правоохранительные органы.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</w:r>
            <w:r/>
          </w:p>
          <w:p>
            <w:pPr>
              <w:pStyle w:val="1_2880"/>
              <w:numPr>
                <w:ilvl w:val="0"/>
                <w:numId w:val="0"/>
              </w:num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В бюджет Кабардино-Балкарской Республики за проведение  процедур лицензирования, государственной аккредитации и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подтверждение документов  об образовании и (или) квалификации в качестве государственной  пошлины поступило </w:t>
            </w:r>
            <w:r>
              <w:rPr>
                <w:rFonts w:ascii="Times New Roman" w:hAnsi="Times New Roman" w:cs="Times New Roman" w:eastAsia="Times New Roman"/>
                <w:b/>
                <w:bCs/>
                <w:color w:val="auto"/>
                <w:sz w:val="24"/>
                <w:szCs w:val="28"/>
              </w:rPr>
              <w:t xml:space="preserve">103 750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 (сто три тысячи семьсот пятьдесят ) руб., в т.ч. за: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/>
          </w:p>
          <w:tbl>
            <w:tblPr>
              <w:tblW w:w="9747" w:type="dxa"/>
              <w:tblInd w:w="-248" w:type="dxa"/>
              <w:tblLayout w:type="fixed"/>
              <w:tblLook w:val="04A0" w:firstRow="1" w:lastRow="0" w:firstColumn="1" w:lastColumn="0" w:noHBand="0" w:noVBand="1"/>
            </w:tblPr>
            <w:tblGrid>
              <w:gridCol w:w="8045"/>
              <w:gridCol w:w="1702"/>
            </w:tblGrid>
            <w:tr>
              <w:trPr/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8045" w:type="dxa"/>
                  <w:textDirection w:val="lrTb"/>
                  <w:noWrap w:val="false"/>
                </w:tcPr>
                <w:p>
                  <w:pPr>
                    <w:pStyle w:val="1_2880"/>
                    <w:numPr>
                      <w:ilvl w:val="0"/>
                      <w:numId w:val="0"/>
                    </w:numPr>
                    <w:ind w:left="142" w:right="221" w:firstLine="0"/>
                    <w:jc w:val="both"/>
                    <w:spacing w:lineRule="auto" w:line="240" w:after="0" w:before="0"/>
                    <w:rPr>
                      <w:rFonts w:ascii="Times New Roman" w:hAnsi="Times New Roman" w:cs="Times New Roman" w:eastAsia="Times New Roman"/>
                      <w:color w:val="auto"/>
                    </w:rPr>
                    <w:outlineLvl w:val="9"/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z w:val="24"/>
                      <w:szCs w:val="28"/>
                      <w:lang w:eastAsia="en-US"/>
                    </w:rPr>
                    <w:t xml:space="preserve">лицензирование образовательной деятельности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z w:val="24"/>
                    </w:rPr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702" w:type="dxa"/>
                  <w:textDirection w:val="lrTb"/>
                  <w:noWrap w:val="false"/>
                </w:tcPr>
                <w:p>
                  <w:pPr>
                    <w:pStyle w:val="1_2880"/>
                    <w:numPr>
                      <w:ilvl w:val="0"/>
                      <w:numId w:val="0"/>
                    </w:numPr>
                    <w:ind w:left="142" w:right="221" w:firstLine="0"/>
                    <w:jc w:val="both"/>
                    <w:spacing w:lineRule="auto" w:line="240" w:after="0" w:before="0"/>
                    <w:rPr>
                      <w:rFonts w:ascii="Times New Roman" w:hAnsi="Times New Roman" w:cs="Times New Roman" w:eastAsia="Times New Roman"/>
                      <w:color w:val="auto"/>
                    </w:rPr>
                    <w:outlineLvl w:val="9"/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z w:val="24"/>
                      <w:szCs w:val="28"/>
                      <w:lang w:eastAsia="en-US"/>
                    </w:rPr>
                    <w:t xml:space="preserve">- 85 250 руб.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z w:val="24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8045" w:type="dxa"/>
                  <w:textDirection w:val="lrTb"/>
                  <w:noWrap w:val="false"/>
                </w:tcPr>
                <w:p>
                  <w:pPr>
                    <w:pStyle w:val="1_2880"/>
                    <w:numPr>
                      <w:ilvl w:val="0"/>
                      <w:numId w:val="0"/>
                    </w:numPr>
                    <w:ind w:left="142" w:right="221" w:firstLine="0"/>
                    <w:jc w:val="both"/>
                    <w:spacing w:lineRule="auto" w:line="240" w:after="0" w:before="0"/>
                    <w:rPr>
                      <w:rFonts w:ascii="Times New Roman" w:hAnsi="Times New Roman" w:cs="Times New Roman" w:eastAsia="Times New Roman"/>
                      <w:color w:val="auto"/>
                    </w:rPr>
                    <w:outlineLvl w:val="9"/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z w:val="24"/>
                      <w:szCs w:val="28"/>
                      <w:lang w:eastAsia="en-US"/>
                    </w:rPr>
                    <w:t xml:space="preserve">государственная аккредитация образовательной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z w:val="24"/>
                    </w:rPr>
                  </w:r>
                  <w:r/>
                </w:p>
                <w:p>
                  <w:pPr>
                    <w:pStyle w:val="1_2880"/>
                    <w:numPr>
                      <w:ilvl w:val="0"/>
                      <w:numId w:val="0"/>
                    </w:numPr>
                    <w:ind w:left="142" w:right="221" w:firstLine="0"/>
                    <w:jc w:val="both"/>
                    <w:spacing w:lineRule="auto" w:line="240" w:after="0" w:before="0"/>
                    <w:rPr>
                      <w:rFonts w:ascii="Times New Roman" w:hAnsi="Times New Roman" w:cs="Times New Roman" w:eastAsia="Times New Roman"/>
                      <w:color w:val="auto"/>
                    </w:rPr>
                    <w:outlineLvl w:val="9"/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z w:val="24"/>
                      <w:szCs w:val="28"/>
                      <w:lang w:eastAsia="en-US"/>
                    </w:rPr>
                    <w:t xml:space="preserve">деятельности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z w:val="24"/>
                    </w:rPr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702" w:type="dxa"/>
                  <w:textDirection w:val="lrTb"/>
                  <w:noWrap w:val="false"/>
                </w:tcPr>
                <w:p>
                  <w:pPr>
                    <w:pStyle w:val="1_2880"/>
                    <w:numPr>
                      <w:ilvl w:val="0"/>
                      <w:numId w:val="0"/>
                    </w:numPr>
                    <w:ind w:left="142" w:right="221" w:firstLine="0"/>
                    <w:jc w:val="both"/>
                    <w:spacing w:lineRule="auto" w:line="240" w:after="0" w:before="0"/>
                    <w:rPr>
                      <w:rFonts w:ascii="Times New Roman" w:hAnsi="Times New Roman" w:cs="Times New Roman" w:eastAsia="Times New Roman"/>
                      <w:color w:val="auto"/>
                    </w:rPr>
                    <w:outlineLvl w:val="9"/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z w:val="24"/>
                      <w:szCs w:val="28"/>
                      <w:lang w:eastAsia="en-US"/>
                    </w:rPr>
                    <w:t xml:space="preserve">- 6 000  руб.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z w:val="24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8045" w:type="dxa"/>
                  <w:textDirection w:val="lrTb"/>
                  <w:noWrap w:val="false"/>
                </w:tcPr>
                <w:p>
                  <w:pPr>
                    <w:pStyle w:val="1_2880"/>
                    <w:numPr>
                      <w:ilvl w:val="0"/>
                      <w:numId w:val="0"/>
                    </w:numPr>
                    <w:ind w:left="142" w:right="221" w:firstLine="0"/>
                    <w:jc w:val="both"/>
                    <w:spacing w:lineRule="auto" w:line="240" w:after="0" w:before="0"/>
                    <w:rPr>
                      <w:rFonts w:ascii="Times New Roman" w:hAnsi="Times New Roman" w:cs="Times New Roman" w:eastAsia="Times New Roman"/>
                      <w:color w:val="auto"/>
                    </w:rPr>
                    <w:outlineLvl w:val="9"/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z w:val="24"/>
                      <w:szCs w:val="28"/>
                      <w:lang w:eastAsia="en-US"/>
                    </w:rPr>
                    <w:t xml:space="preserve">подтверждение документов государственного образца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z w:val="24"/>
                    </w:rPr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702" w:type="dxa"/>
                  <w:textDirection w:val="lrTb"/>
                  <w:noWrap w:val="false"/>
                </w:tcPr>
                <w:p>
                  <w:pPr>
                    <w:pStyle w:val="1_2880"/>
                    <w:numPr>
                      <w:ilvl w:val="0"/>
                      <w:numId w:val="0"/>
                    </w:numPr>
                    <w:ind w:left="142" w:right="221" w:firstLine="0"/>
                    <w:jc w:val="both"/>
                    <w:spacing w:lineRule="auto" w:line="240" w:after="0" w:before="0"/>
                    <w:rPr>
                      <w:rFonts w:ascii="Times New Roman" w:hAnsi="Times New Roman" w:cs="Times New Roman" w:eastAsia="Times New Roman"/>
                      <w:color w:val="auto"/>
                    </w:rPr>
                    <w:outlineLvl w:val="9"/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z w:val="24"/>
                      <w:szCs w:val="28"/>
                      <w:lang w:eastAsia="en-US"/>
                    </w:rPr>
                    <w:t xml:space="preserve">- 12 500 руб.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z w:val="24"/>
                    </w:rPr>
                  </w:r>
                  <w:r/>
                </w:p>
              </w:tc>
            </w:tr>
          </w:tbl>
          <w:p>
            <w:pPr>
              <w:pStyle w:val="1_2880"/>
              <w:numPr>
                <w:ilvl w:val="0"/>
                <w:numId w:val="0"/>
              </w:num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Анализ работы  за отчетный период позволяет сделать следующие </w:t>
            </w:r>
            <w:r>
              <w:rPr>
                <w:rFonts w:ascii="Times New Roman" w:hAnsi="Times New Roman" w:cs="Times New Roman" w:eastAsia="Times New Roman"/>
                <w:b/>
                <w:bCs/>
                <w:color w:val="auto"/>
                <w:sz w:val="24"/>
                <w:szCs w:val="28"/>
              </w:rPr>
              <w:t xml:space="preserve">выводы: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/>
          </w:p>
          <w:p>
            <w:pPr>
              <w:pStyle w:val="1_2880"/>
              <w:numPr>
                <w:ilvl w:val="0"/>
                <w:numId w:val="0"/>
              </w:num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- требования к проведению процедур лицензирования, государственной аккредитации и подтверждения документов государственного образца по итогам  1 квартала 2021 года выполняются;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/>
          </w:p>
          <w:p>
            <w:pPr>
              <w:pStyle w:val="1_2880"/>
              <w:numPr>
                <w:ilvl w:val="0"/>
                <w:numId w:val="2"/>
              </w:numPr>
              <w:ind w:left="142" w:right="221" w:firstLine="0"/>
              <w:jc w:val="both"/>
              <w:spacing w:lineRule="auto" w:line="240"/>
              <w:rPr>
                <w:color w:val="auto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предоставление государственн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ых услуг, а также принятые меры, в рамках проведения процедур лицензирования и государственной аккредитации способствовали приведению деятельности образовательных учреждений и организаций в соответствие с действующим законодательством Российской Федерации.</w:t>
            </w:r>
            <w:r>
              <w:rPr>
                <w:color w:val="auto"/>
                <w:sz w:val="24"/>
              </w:rPr>
            </w:r>
            <w:r/>
          </w:p>
          <w:p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систематической работы по оценке коррупционных рисков, возникающих при реализации министерством отдельных функций. Определение по результатам оценки перечня функций,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выполнении которых наиболее вероятно возникновение коррупционных правонарушений. Актуализация перечня должностей, замещение которых связано с коррупционными рисками. 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pStyle w:val="491"/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Минпросвещения КБР от 10.01.2019 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«Об утверждении перечня должностей государственной гражданской службы Минпросвещения КБР, замещение которых связано с коррупционными рисками» актуализирован перечень должностей и проведена оценка коррупционных рисков по направлениям деятельности отделов.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ень должностей государственных гражданских служащих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инпросвещения КБР анализируется при изменении организационной структуры министерства и наделении структурных подразделений новыми функциями и полномочиями, а также при изменении должностных регламентов. Приказом Минпросвещения КБР от 02.09.2020  г. № 8225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актуализирован перечень должностей государственной гражданской службы в Минпросвещения КБР, замещение которых связано с коррупционными рисками. Включена должность ведущего специалиста-эксперта сектора правового обеспечения.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both"/>
              <w:spacing w:lineRule="auto" w:line="240"/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курсов повышения квалификации государственных гражданских служащих Минпросвещения КБР, в должностные обязанности которых входит реализация антикоррупционного законодательства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pStyle w:val="491"/>
              <w:ind w:left="283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гражданские служащие Минпросвещения КБР, в должностные обязанности которых включены обязанности по реализации антикоррупционного законодательства, включены в Государственный заказ на повышение квалификации.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курсов повышения квалификации государственных гражданских служащих Минпросвещения КБР, впервые поступивших на государственную гражданскую службу для замещения должностей,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  <w:tabs>
                <w:tab w:val="left" w:pos="5386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соответствии с подпунктом «б» пункта 29 Национального плана противодействия коррупции на 2018 - 2020 годы, утвержденного Указом Президента РФ от 29.06.2018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№ 378 «О Национальном плане противодействия коррупции на 2018 - 2020 годы» обеспечение обучения 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</w:t>
            </w:r>
            <w:r>
              <w:rPr>
                <w:rFonts w:ascii="Times New Roman" w:hAnsi="Times New Roman" w:cs="Times New Roman"/>
                <w:sz w:val="24"/>
              </w:rPr>
              <w:t xml:space="preserve">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 возложено на высшее должностное лицо (руководителя высшего исполнительного ор</w:t>
            </w:r>
            <w:r>
              <w:rPr>
                <w:rFonts w:ascii="Times New Roman" w:hAnsi="Times New Roman" w:cs="Times New Roman"/>
                <w:sz w:val="24"/>
              </w:rPr>
              <w:t xml:space="preserve">гана государственной власти) субъекта Российской Федерации. В целях формирования государственного заказа КБР на мероприятия по профессиональному развитию государственных гражданских служащих КБР на 2021 год необходимо представление заявки, впервые поступив</w:t>
            </w:r>
            <w:r>
              <w:rPr>
                <w:rFonts w:ascii="Times New Roman" w:hAnsi="Times New Roman" w:cs="Times New Roman"/>
                <w:sz w:val="24"/>
              </w:rPr>
              <w:t xml:space="preserve">ших на государственную гражданскую службу в 2019-2020 гг. государственных гражданских служащих Минпросвещения КБР. Одновременно сообщаем, что из 10 государственных гражданских служащих Минпросвещения КБР, впервые поступивших на госу</w:t>
            </w:r>
            <w:r>
              <w:rPr>
                <w:rFonts w:ascii="Times New Roman" w:hAnsi="Times New Roman" w:cs="Times New Roman"/>
                <w:sz w:val="24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</w:rPr>
              <w:t xml:space="preserve">арственную гражданскую службу в 2019 году и включенных в перечень должностей, установленный нормативным правовым актом РФ, на сегодняшний день продолжает несение службы 1 государственный гражданский служащий, обучение которого запланировано в текущем году.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эффективности реализации ведомственного плана противодействия коррупции и рассмотрение результатов на заседаниях Общественного совета при Минпросвещения КБР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соответствии с протоколом №1 (27) заочного заседания Общественного совета при Минпро</w:t>
            </w:r>
            <w:r>
              <w:rPr>
                <w:rFonts w:ascii="Times New Roman" w:hAnsi="Times New Roman" w:cs="Times New Roman"/>
                <w:sz w:val="24"/>
              </w:rPr>
              <w:t xml:space="preserve">свещения КБР от 05.02.2021 г. рассмотрен отчет о реализации мероприятий подпрограммы «Противодействие коррупции» и госпрограммы «Укрепление обще</w:t>
            </w:r>
            <w:r>
              <w:rPr>
                <w:rFonts w:ascii="Times New Roman" w:hAnsi="Times New Roman" w:cs="Times New Roman"/>
                <w:sz w:val="24"/>
              </w:rPr>
              <w:t xml:space="preserve">ственного порядка и общественной безопасности в КБР» «Об исполнении ведомственной целевой программы по реализации антикоррупционной политики в сфере деятельности Минпросвещения КБР на 2017-2020 гг.» и принято решение о его размещении на официальном сайте. </w:t>
            </w:r>
            <w:r>
              <w:rPr>
                <w:rFonts w:ascii="Times New Roman" w:hAnsi="Times New Roman" w:cs="Times New Roman"/>
                <w:sz w:val="24"/>
              </w:rPr>
              <w:t xml:space="preserve">Утвержден План мероприятий по реализации антикоррупционной политики в сфере деятельности Минпросвещения КБР на 2021-2025 гг. приказом Минпросвещения КБР от 29.01.2021 г. № 22/51.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анкетных данных служащих, замещающих должности государственной гражданской службы в Минпросвещения КБР, в том числе контроля за актуализацией сведений,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 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contextualSpacing w:val="false"/>
              <w:ind w:left="283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Обновлены анкеты всех государственных гражданских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соответствии с формой, утвержденной распоряжением Правительства РФ от 26.05.2005 г. № 667-р.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Проведён анализ сведений, содержащихся в анкетах, представляемых при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азначении на должности государственной гражданской службы при поступлении на гражданскую службу в Минпросвещения КБР, об их родственниках и свойственниках целях выявления возможного конфликта интересов. Факты близкого родства и свойства между гражданскими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служащими при замещении должностей гражданской службы, связанных с непосредственной подчиненностью или подконтрольностью. Не выявлены в отчетном периоде.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both"/>
              <w:spacing w:lineRule="auto" w:line="240"/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 в деятельности министерства 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 соответствии с приказом Минпросвещения КБР от 10.01.2019 г. № 3 утвержден Перечень должностей государственной гражданской службы в Минпросвещения КБР,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замещение которых связно с коррупционными рисками.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Руководителям структурных подразделений указано на необходимость организации должного контроля за служебной деятельностью и поведением сотрудников, замещающих должности с высоким коррупционным риском.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Перечень должностей государственной гражданской службы в Минпросвещения КБР, замещение которых связано с высоким коррупционным риском актуализируется при изменении функциональных обязанностей или изменении организационно-штатной структуры Министерства.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наполнения раздела «Антикоррупционная деятельность» официального сайта министерства в информационно-телекоммуникационной сети "Интернет"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pStyle w:val="491"/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В 1 кварт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але 2021 г. на сайте министерства размещена 1 методическая информация по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2021 году (за отчётный 2020 год)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 и 1 информационный материал по проведению семинара антикоррупционной направленности.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обращений граждан о проявлениях коррупции в Минпросвещения КБР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pStyle w:val="491"/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В 1 квартале 2021 г. жалоб и обращений граждан и организаций на предмет наличия информации о фактах коррупции со стороны государственных гражданских служащих Министерства не поступало.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комплекса мер по предупреждению и минимизации бытовой коррупции в сфере образования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</w:pPr>
            <w:r>
              <w:rPr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t xml:space="preserve">С целью минимизации бы</w:t>
            </w:r>
            <w:r>
              <w:rPr>
                <w:rFonts w:ascii="Times New Roman" w:hAnsi="Times New Roman" w:cs="Times New Roman"/>
                <w:sz w:val="24"/>
              </w:rPr>
              <w:t xml:space="preserve">товой коррупции в сфере образования министерством разработан приказ Минпросвещения КБР от 08.10.2018 г. № 730 «О мерах по предупреждению незаконного сбора денежных средств с родителей (законных представителей) обучающихся, воспитанников государственных и м</w:t>
            </w:r>
            <w:r>
              <w:rPr>
                <w:rFonts w:ascii="Times New Roman" w:hAnsi="Times New Roman" w:cs="Times New Roman"/>
                <w:sz w:val="24"/>
              </w:rPr>
              <w:t xml:space="preserve">униципальных образовательных организаций КБР и минимизации бытовой коррупции». Данный приказ доведенных до сведения всех заинтересованных. В ходе поступления обращений граждан по данному вопросу используется разработанный примерный перечень вопросов для пр</w:t>
            </w:r>
            <w:r>
              <w:rPr>
                <w:rFonts w:ascii="Times New Roman" w:hAnsi="Times New Roman" w:cs="Times New Roman"/>
                <w:sz w:val="24"/>
              </w:rPr>
              <w:t xml:space="preserve">оведения мониторинга мнения родителей по вопросу оказания платных услуг и привлечения и расходования добровольных пожертвований физических и юридических лиц. Кроме того, разработана «Памятка для родителей» и образцы договоров для пожертвования денежного и </w:t>
            </w:r>
            <w:r>
              <w:rPr>
                <w:rFonts w:ascii="Times New Roman" w:hAnsi="Times New Roman" w:cs="Times New Roman"/>
                <w:sz w:val="24"/>
              </w:rPr>
              <w:t xml:space="preserve">неденежного имущества. К руководителям образовательных учреждений, допустившим нарушения по порядку оказания платных образовательных услуг, привлечению и расходованию добровольных пожертвований физических и юридических лиц</w:t>
            </w:r>
            <w:r>
              <w:rPr>
                <w:rFonts w:ascii="Times New Roman" w:hAnsi="Times New Roman" w:cs="Times New Roman"/>
                <w:sz w:val="24"/>
              </w:rPr>
              <w:t xml:space="preserve">, применяются меры строгой дисциплинарной ответственности в соответствии с законодательством РФ.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системы межведомственного взаимодействия при предоставлении государственных услуг и мониторинг предоставления государственных услуг в Кабардино-Балкарской Республике на предмет наличия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коррупциогенных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при их оказании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</w:pPr>
            <w:r>
              <w:rPr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t xml:space="preserve">Министерством и подведомственными образовательными учреждениями оказывается 19 государственных услуг. Все услуги оказываются в электронном виде через МФЦ КБР, что исключает возможность возникновения коррупционных факторов при их оказании. 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актуальном состоянии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административных регламентов предоставления государственных услуг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Структурными подразделениями Министерства просвещения, науки и по делам молодежи КБР проводится системный анализ регламентов предоставления государственных услуг на предмет актуальности.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В 4 квартале 2019 г. приказом Минп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освещения от 07.10.2019 г. №893 «Об утверждении административных регламентов по предоставлению государственных услуг в Минпросвещения КБР» утверждены 21 административный регламент Минпросвещения КБР по предоставлению государственных и муниципальных услуг.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В отчетном периоде изменений не было.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специальных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курсов повышения квалификации для работников общеобразовательных организаций, организаций начального и среднего профессионального образования по теме использования элементов антикоррупционного воспитания на уроках истории, экономики, права, обществознания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pStyle w:val="491"/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Во 2 квартале 2021 г.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запланировано обучение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40 работников общеобразовательных организаций, организаций начального и среднего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профессионального образования по теме использования элементов антикоррупционного воспитания на уроках истории, экономики, права, обществознания.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республиканского молодежного форума "Стоп, коррупция!"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jc w:val="both"/>
              <w:spacing w:lineRule="auto" w:line="24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планируется в 4 квартале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посвященных Международному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борьбы с коррупцией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jc w:val="both"/>
              <w:spacing w:lineRule="auto" w:line="24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планируется в 4 квартале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комплекса мер по совершенствованию деятельности по противодействию коррупции в государственных образовательных учреждениях Кабардино-Балкарской Республики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ствии с Методическими рекомендациями по разработке и приняты организациями мер по предупреждению и противодействию коррупции, разработанными Минтрудом РФ в подведомственных 25 образовательных организациях приняты следующие меры по предупреждению коррупции: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определены должностные лица, ответственные за профилактику коррупционных и иных правонарушений;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и приняты локальные нормативные акты, регулирующие вопросы противодействия коррупции;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Размещена необходимая информация на официальном сайте и информационном стенде учреждения.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подведомственных образовательных учреждений принимают участие в проводимых семинарах по вопросах противодействия коррупции.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491"/>
              <w:jc w:val="both"/>
              <w:spacing w:lineRule="auto" w:line="24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органами государственного и муниципального контроля, направленного на безусловное соблюдение законодательства при расходовании бюджетных средств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pStyle w:val="491"/>
              <w:ind w:left="142" w:right="307" w:firstLine="0"/>
              <w:jc w:val="both"/>
              <w:spacing w:lineRule="auto" w:line="2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йствие с органами государственного  контроля осуществляется через автоматизированную систему управления финансами «Сегмент управления бюджетным процессом информационной системы управления общественными финансами КБР Минфина КБР» (СУБПиСУОФКБР) АЦК-Финансы.</w:t>
            </w:r>
            <w:r/>
            <w:r/>
          </w:p>
          <w:p>
            <w:pPr>
              <w:pStyle w:val="491"/>
              <w:jc w:val="left"/>
              <w:spacing w:lineRule="auto" w:line="24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6838" w:h="11906" w:orient="landscape"/>
      <w:pgMar w:top="567" w:right="1134" w:bottom="850" w:left="1134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96"/>
      <w:jc w:val="right"/>
    </w:pPr>
    <w:r/>
    <w:r/>
  </w:p>
  <w:p>
    <w:pPr>
      <w:pStyle w:val="49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93785052"/>
      <w:docPartObj>
        <w:docPartGallery w:val="Page Numbers (Top of Page)"/>
        <w:docPartUnique w:val="true"/>
      </w:docPartObj>
      <w:rPr/>
    </w:sdtPr>
    <w:sdtContent>
      <w:p>
        <w:pPr>
          <w:pStyle w:val="49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10</w:t>
        </w:r>
        <w:r>
          <w:fldChar w:fldCharType="end"/>
        </w:r>
        <w:r/>
      </w:p>
    </w:sdtContent>
  </w:sdt>
  <w:p>
    <w:pPr>
      <w:pStyle w:val="4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–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bullet"/>
      <w:isLgl w:val="false"/>
      <w:suff w:val="tab"/>
      <w:lvlText w:val="–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bullet"/>
      <w:isLgl w:val="false"/>
      <w:suff w:val="tab"/>
      <w:lvlText w:val="–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bullet"/>
      <w:isLgl w:val="false"/>
      <w:suff w:val="tab"/>
      <w:lvlText w:val="–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bullet"/>
      <w:isLgl w:val="false"/>
      <w:suff w:val="tab"/>
      <w:lvlText w:val="–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bullet"/>
      <w:isLgl w:val="false"/>
      <w:suff w:val="tab"/>
      <w:lvlText w:val="–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bullet"/>
      <w:isLgl w:val="false"/>
      <w:suff w:val="tab"/>
      <w:lvlText w:val="–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bullet"/>
      <w:isLgl w:val="false"/>
      <w:suff w:val="tab"/>
      <w:lvlText w:val="–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87"/>
    <w:next w:val="487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488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87"/>
    <w:next w:val="487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488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487"/>
    <w:next w:val="487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488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87"/>
    <w:next w:val="487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488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87"/>
    <w:next w:val="487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488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87"/>
    <w:next w:val="487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488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87"/>
    <w:next w:val="487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488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87"/>
    <w:next w:val="487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488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87"/>
    <w:next w:val="487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488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487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487"/>
    <w:next w:val="487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488"/>
    <w:link w:val="32"/>
    <w:uiPriority w:val="10"/>
    <w:rPr>
      <w:sz w:val="48"/>
      <w:szCs w:val="48"/>
    </w:rPr>
  </w:style>
  <w:style w:type="paragraph" w:styleId="34">
    <w:name w:val="Subtitle"/>
    <w:basedOn w:val="487"/>
    <w:next w:val="487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488"/>
    <w:link w:val="34"/>
    <w:uiPriority w:val="11"/>
    <w:rPr>
      <w:sz w:val="24"/>
      <w:szCs w:val="24"/>
    </w:rPr>
  </w:style>
  <w:style w:type="paragraph" w:styleId="36">
    <w:name w:val="Quote"/>
    <w:basedOn w:val="487"/>
    <w:next w:val="487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87"/>
    <w:next w:val="487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488"/>
    <w:link w:val="494"/>
    <w:uiPriority w:val="99"/>
  </w:style>
  <w:style w:type="character" w:styleId="43">
    <w:name w:val="Footer Char"/>
    <w:basedOn w:val="488"/>
    <w:link w:val="496"/>
    <w:uiPriority w:val="99"/>
  </w:style>
  <w:style w:type="paragraph" w:styleId="44">
    <w:name w:val="Caption"/>
    <w:basedOn w:val="487"/>
    <w:next w:val="48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96"/>
    <w:uiPriority w:val="99"/>
  </w:style>
  <w:style w:type="table" w:styleId="46">
    <w:name w:val="Table Grid"/>
    <w:basedOn w:val="48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48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8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8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487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488"/>
    <w:uiPriority w:val="99"/>
    <w:unhideWhenUsed/>
    <w:rPr>
      <w:vertAlign w:val="superscript"/>
    </w:rPr>
  </w:style>
  <w:style w:type="paragraph" w:styleId="176">
    <w:name w:val="endnote text"/>
    <w:basedOn w:val="487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488"/>
    <w:uiPriority w:val="99"/>
    <w:semiHidden/>
    <w:unhideWhenUsed/>
    <w:rPr>
      <w:vertAlign w:val="superscript"/>
    </w:rPr>
  </w:style>
  <w:style w:type="paragraph" w:styleId="179">
    <w:name w:val="toc 1"/>
    <w:basedOn w:val="487"/>
    <w:next w:val="48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87"/>
    <w:next w:val="48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87"/>
    <w:next w:val="48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87"/>
    <w:next w:val="48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87"/>
    <w:next w:val="48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87"/>
    <w:next w:val="48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87"/>
    <w:next w:val="48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87"/>
    <w:next w:val="48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87"/>
    <w:next w:val="48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87" w:default="1">
    <w:name w:val="Normal"/>
    <w:qFormat/>
  </w:style>
  <w:style w:type="character" w:styleId="488" w:default="1">
    <w:name w:val="Default Paragraph Font"/>
    <w:uiPriority w:val="1"/>
    <w:semiHidden/>
    <w:unhideWhenUsed/>
  </w:style>
  <w:style w:type="table" w:styleId="4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90" w:default="1">
    <w:name w:val="No List"/>
    <w:uiPriority w:val="99"/>
    <w:semiHidden/>
    <w:unhideWhenUsed/>
  </w:style>
  <w:style w:type="paragraph" w:styleId="491" w:customStyle="1">
    <w:name w:val="ConsPlusNormal"/>
    <w:rPr>
      <w:rFonts w:ascii="Calibri" w:hAnsi="Calibri" w:cs="Calibri"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492">
    <w:name w:val="Balloon Text"/>
    <w:basedOn w:val="487"/>
    <w:link w:val="493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493" w:customStyle="1">
    <w:name w:val="Текст выноски Знак"/>
    <w:basedOn w:val="488"/>
    <w:link w:val="492"/>
    <w:uiPriority w:val="99"/>
    <w:semiHidden/>
    <w:rPr>
      <w:rFonts w:ascii="Segoe UI" w:hAnsi="Segoe UI" w:cs="Segoe UI"/>
      <w:sz w:val="18"/>
      <w:szCs w:val="18"/>
    </w:rPr>
  </w:style>
  <w:style w:type="paragraph" w:styleId="494">
    <w:name w:val="Header"/>
    <w:basedOn w:val="487"/>
    <w:link w:val="495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495" w:customStyle="1">
    <w:name w:val="Верхний колонтитул Знак"/>
    <w:basedOn w:val="488"/>
    <w:link w:val="494"/>
    <w:uiPriority w:val="99"/>
  </w:style>
  <w:style w:type="paragraph" w:styleId="496">
    <w:name w:val="Footer"/>
    <w:basedOn w:val="487"/>
    <w:link w:val="497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497" w:customStyle="1">
    <w:name w:val="Нижний колонтитул Знак"/>
    <w:basedOn w:val="488"/>
    <w:link w:val="496"/>
    <w:uiPriority w:val="99"/>
  </w:style>
  <w:style w:type="character" w:styleId="1_2878">
    <w:name w:val="Emphasis"/>
    <w:qFormat/>
    <w:rPr>
      <w:i/>
      <w:iCs/>
    </w:rPr>
  </w:style>
  <w:style w:type="character" w:styleId="1_2879" w:customStyle="1">
    <w:name w:val="Основной текст1"/>
    <w:rPr>
      <w:rFonts w:ascii="Times New Roman" w:hAnsi="Times New Roman" w:cs="Times New Roman" w:eastAsia="Times New Roman"/>
      <w:color w:val="000000"/>
      <w:spacing w:val="0"/>
      <w:position w:val="0"/>
      <w:sz w:val="24"/>
      <w:szCs w:val="24"/>
      <w:vertAlign w:val="subscript"/>
      <w:lang w:val="ru-RU" w:bidi="ru-RU" w:eastAsia="ru-RU"/>
    </w:rPr>
  </w:style>
  <w:style w:type="paragraph" w:styleId="1_2877">
    <w:name w:val="Body Text"/>
    <w:basedOn w:val="449"/>
    <w:link w:val="463"/>
    <w:rPr>
      <w:rFonts w:ascii="Times New Roman" w:hAnsi="Times New Roman" w:cs="Times New Roman" w:eastAsia="Times New Roman"/>
      <w:b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contextualSpacing w:val="false"/>
      <w:ind w:left="0" w:right="0" w:firstLine="0"/>
      <w:jc w:val="center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0"/>
      <w:suppressLineNumbers w:val="0"/>
    </w:pPr>
  </w:style>
  <w:style w:type="paragraph" w:styleId="1_2880" w:customStyle="1">
    <w:name w:val="Standard"/>
    <w:rPr>
      <w:rFonts w:ascii="Courier New" w:hAnsi="Courier New" w:cs="Courier New" w:eastAsia="Courier New"/>
      <w:b w:val="false"/>
      <w:bCs w:val="false"/>
      <w:i w:val="false"/>
      <w:iCs w:val="false"/>
      <w:caps w:val="false"/>
      <w:smallCaps w:val="false"/>
      <w:strike w:val="false"/>
      <w:vanish w:val="false"/>
      <w:color w:val="000000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ru-RU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34</cp:revision>
  <dcterms:created xsi:type="dcterms:W3CDTF">2021-01-13T07:18:00Z</dcterms:created>
  <dcterms:modified xsi:type="dcterms:W3CDTF">2022-04-12T08:27:19Z</dcterms:modified>
</cp:coreProperties>
</file>