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false"/>
        <w:jc w:val="right"/>
        <w:spacing w:lineRule="auto" w:line="276" w:after="0" w:before="0"/>
        <w:rPr>
          <w:rFonts w:ascii="Times New Roman" w:hAnsi="Times New Roman" w:cs="Times New Roman" w:eastAsia="Times New Roman"/>
          <w:sz w:val="28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</w:rPr>
        <w:suppressLineNumbers w:val="0"/>
      </w:pPr>
      <w:r>
        <w:rPr>
          <w:rFonts w:ascii="Times New Roman" w:hAnsi="Times New Roman" w:cs="Times New Roman" w:eastAsia="Times New Roman"/>
          <w:sz w:val="28"/>
        </w:rPr>
        <w:t xml:space="preserve">Информация </w:t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</w:rPr>
        <w:suppressLineNumbers w:val="0"/>
      </w:pPr>
      <w:r>
        <w:rPr>
          <w:rFonts w:ascii="Times New Roman" w:hAnsi="Times New Roman" w:cs="Times New Roman" w:eastAsia="Times New Roman"/>
          <w:sz w:val="28"/>
        </w:rPr>
        <w:t xml:space="preserve">о ходе реализации мероприятий подпрограммы «Противодействие коррупции» государственной программы «Профилактика правонарушений и укрепление общественного порядка и общественной безопасности в </w:t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</w:rPr>
        <w:suppressLineNumbers w:val="0"/>
      </w:pPr>
      <w:r>
        <w:rPr>
          <w:rFonts w:ascii="Times New Roman" w:hAnsi="Times New Roman" w:cs="Times New Roman" w:eastAsia="Times New Roman"/>
          <w:sz w:val="28"/>
        </w:rPr>
        <w:t xml:space="preserve">Кабардино—Балкарской Республике»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за 2021 г.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в Министерстве просвещения, науки и по делам молодежи </w:t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Кабардино-Балкарской Республики 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tbl>
      <w:tblPr>
        <w:tblStyle w:val="464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3477"/>
        <w:gridCol w:w="10738"/>
      </w:tblGrid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№/№</w:t>
            </w:r>
            <w:r>
              <w:rPr>
                <w:sz w:val="22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</w:rPr>
              <w:t xml:space="preserve">№ пункта </w:t>
            </w:r>
            <w:r>
              <w:rPr>
                <w:rFonts w:ascii="Times New Roman" w:hAnsi="Times New Roman" w:cs="Times New Roman" w:eastAsia="Times New Roman"/>
                <w:b/>
                <w:sz w:val="22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</w:rPr>
              <w:t xml:space="preserve">Наименование мероприятия </w:t>
            </w:r>
            <w:r>
              <w:rPr>
                <w:rFonts w:ascii="Times New Roman" w:hAnsi="Times New Roman" w:cs="Times New Roman" w:eastAsia="Times New Roman"/>
                <w:b/>
                <w:sz w:val="22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</w:rPr>
              <w:t xml:space="preserve">Отчет о ходе реализации мероприятия </w:t>
            </w:r>
            <w:r>
              <w:rPr>
                <w:rFonts w:ascii="Times New Roman" w:hAnsi="Times New Roman" w:cs="Times New Roman" w:eastAsia="Times New Roman"/>
                <w:b/>
                <w:sz w:val="22"/>
              </w:rPr>
            </w:r>
            <w:r/>
          </w:p>
        </w:tc>
      </w:tr>
      <w:tr>
        <w:trPr>
          <w:trHeight w:val="278"/>
        </w:trPr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1</w:t>
            </w:r>
            <w:r>
              <w:rPr>
                <w:sz w:val="22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2.1.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Проведение антикоррупционной экспертизы нормативных правовых актов и проектов нормативных правовых актов Кабардино-Балкарской Республики и органов местного самоуправления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Антикоррупционная экспертиза нормативных правовых актов Минпросвещения КБР проводится в соответствии с приказом Министерства просвещения, науки и по делам молодежи Кабардино-Балкарской Рес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публики от 28.12.2018 г.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 № 993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За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2021 год проведена антикоррупционная экспертиза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40 нормативных правовых актов. Коррупциогенные факторы в нормативных правовых актах не выявлены. Все нормативные правовые акты  и их проекты своевременно направлены в Прокуратуру КБР и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Управление Министерства юстиции Российской Федерации по Кабардино-Балкарской Республике, получены заключения без замечаний о содержании коррупциогенных факторов.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r/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2</w:t>
            </w:r>
            <w:r>
              <w:rPr>
                <w:sz w:val="22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2.2.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оддержание в актуальном состоянии информации, размещенной на информационных стендах в государственных и муниципальных учреждениях (в том числе контактные данные лиц, ответственных за организацию деятельности по противодействию коррупции в исполнительных ор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ганах государственной власти Кабардино-Балкарской Республики и органах местного самоуправления, телефонов "горячих антикоррупционных линий" Администрации Главы Кабардино-Балкарской Республики, правоохранительных органов)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За 2021 г. актуализирована информация на информационном стенде, посвященном противодействию коррупции.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На информационном стенде Минпросвещения КБР размещены актуальные телефоны антикоррупционных линий, в том числе Администрации Главы КБР, правоохранительных органов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Кроме того, систематически размещается актуальная информация о проводимой в министерстве работе по вопросам профилактики коррупции, об ответственности за совершение коррупционных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правонарушений, результаты тестирования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государственных гражданских служащих Минпрос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веще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ния КБР на знание антикоррупционного законодательства, требований к служебному поведению.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 25 подведомственных образовательных организациях систематически актуализируется информация на аналогичных стендах.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r/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3</w:t>
            </w:r>
            <w:r>
              <w:rPr>
                <w:sz w:val="22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2.6.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Проведение тематических информационно-методических семинаров на тему противодействия коррупции для государственных гражданских служащих Кабардино-Балкарской Республики и муниципальных служащих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shd w:val="clear" w:fill="EBEBEB" w:color="EBEBEB"/>
              <w:rPr>
                <w:rFonts w:ascii="Times New Roman" w:hAnsi="Times New Roman" w:cs="Times New Roman" w:eastAsia="Times New Roman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26 февраля 2021 г. с целью оказания просветительской и консультативной помощи при заполнении сведений о доходах, расходах, об имуществе и обязательствах имущественного характера в Минпросвещения КБР состоялся семинар на тему: "Актуальные вопросы представле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ния справок о доходах, расходах, об имуществе и обязательствах имущественного характера за 2021 г. (отчётный 2020 г.)" для государственных гражданских служащих Минпросвещения КБР и руководителей подведомственных образовательных учреждений. 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shd w:val="clear" w:fill="EBEBEB" w:color="EBEBEB"/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В работе семинара принял участие прокурор отдела надзора за исполнением законодательства о противодействии коррупции Прокуратуры КБР Созаев Тахир Махмутович. Прокурор осветил вопросы об изменениях в форме "Справка БК", подчеркнул моменты, которым необходим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о уделить внимание при заполнении документов, рассказал о наиболее часто встречающихся ошибках, которые при заполнении допускаются государственными служащими и руководителями подведомственных образовательных учреждений, ответил на вопросы аудитории.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shd w:val="clear" w:fill="EBEBEB" w:color="EBEBEB"/>
              <w:rPr>
                <w:rFonts w:ascii="Times New Roman" w:hAnsi="Times New Roman" w:cs="Times New Roman" w:eastAsia="Times New Roman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В декабре 2021 г. проведено тестирование государственных гражданских служащих Минпросвещения КБР на знание основ законодательства РФ о противодействии коррупции. Государственным гражданским служащим было предложено ответить на 34 вопроса, которые касались порядка представления сведений о доходах, расходах, об имуществе и обязательствах имущественного характера, урегулирования конфликта интересов на госслужбе, антикоррупционных запретов, требований и ограничений, ответственности за совершение коррупционных правонарушений, и другие. Тестирование прошли 49 государственных гражданских служащих Минпросвещения КБР, которые показали высокий уровень знания законодательства о противодействии коррупции и государственной гражданской службе. Кроме того, государственным гражданским служащим Минпросвещения КБР было предложено ознакомиться с антикоррупционными роликами ФАС России и Минэкономразвития России.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</w:r>
          </w:p>
          <w:p>
            <w:r/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4</w:t>
            </w:r>
            <w:r>
              <w:rPr>
                <w:sz w:val="22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2.7.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еализация системных мер, направленных на выявление и снижение рисков коррупционных проявлений в сферах жилищно-коммунального хозяйства, бюджетных отношений, недропользования, обращения с отходами, инвестиций, земельно-имущественных отношений, налогообложен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ия, развития малого и среднего бизнеса, дорожного строительства и дорожного хозяйства, транспортного обеспечения, энергетики, здравоохранения, образования, государственных и муниципальных закупок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</w:rPr>
              <w:t xml:space="preserve">Сектором по вопросам противодействия коррупции Министерства в целях активизации профилактической работы в отношении должностных лиц, участвующих в решении вопросов субсидирования и иного использования бюдж</w:t>
            </w:r>
            <w:r>
              <w:rPr>
                <w:rFonts w:ascii="Times New Roman" w:hAnsi="Times New Roman" w:cs="Times New Roman"/>
                <w:sz w:val="24"/>
              </w:rPr>
              <w:t xml:space="preserve">етных</w:t>
            </w:r>
            <w:r>
              <w:rPr>
                <w:rFonts w:ascii="Times New Roman" w:hAnsi="Times New Roman" w:cs="Times New Roman"/>
                <w:sz w:val="24"/>
              </w:rPr>
              <w:t xml:space="preserve"> средств, во 2 квартале 2021 году проведен специализированный углубленный тренинг с государственными гражданскими служащими, в должностные обязанности которых входит решение вопросов субсидирования и иного использования бюджетных средств.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Выделены основные вопросы: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коррупционные риски в системе государственных закупок; </w:t>
            </w:r>
            <w:r>
              <w:rPr>
                <w:rFonts w:ascii="Times New Roman" w:hAnsi="Times New Roman" w:cs="Times New Roman"/>
                <w:sz w:val="24"/>
              </w:rPr>
              <w:t xml:space="preserve">аффилированность при госзакупках; </w:t>
            </w:r>
            <w:r>
              <w:rPr>
                <w:rFonts w:ascii="Times New Roman" w:hAnsi="Times New Roman" w:cs="Times New Roman"/>
                <w:sz w:val="24"/>
              </w:rPr>
              <w:t xml:space="preserve">правовые меры, направленные на противодействие злоупотреблению в сфере госзакупок; </w:t>
            </w:r>
            <w:r>
              <w:rPr>
                <w:rFonts w:ascii="Times New Roman" w:hAnsi="Times New Roman" w:cs="Times New Roman"/>
                <w:sz w:val="24"/>
              </w:rPr>
              <w:t xml:space="preserve">конфликт интересов при госзакупках; </w:t>
            </w:r>
            <w:r>
              <w:rPr>
                <w:rFonts w:ascii="Times New Roman" w:hAnsi="Times New Roman" w:cs="Times New Roman"/>
                <w:sz w:val="24"/>
              </w:rPr>
              <w:t xml:space="preserve">порядок уведомления представителя нанимателя об обращениях </w:t>
            </w:r>
            <w:r>
              <w:rPr>
                <w:rFonts w:ascii="Times New Roman" w:hAnsi="Times New Roman" w:cs="Times New Roman"/>
                <w:sz w:val="24"/>
              </w:rPr>
              <w:t xml:space="preserve">с целью склонения государственного гражданского служащего Министерства к совершению коррупционного правонарушения. 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</w:rPr>
              <w:t xml:space="preserve">Приказом Министерства от 21 февраля 2019 г. № 204 </w:t>
            </w:r>
            <w:r>
              <w:rPr>
                <w:rFonts w:ascii="Times New Roman" w:hAnsi="Times New Roman" w:cs="Times New Roman"/>
                <w:sz w:val="24"/>
              </w:rPr>
              <w:t xml:space="preserve">«Об организации системы внутреннего обеспечения соответствия требованиям антимонопольного законодательства в Ми</w:t>
            </w:r>
            <w:r>
              <w:rPr>
                <w:rFonts w:ascii="Times New Roman" w:hAnsi="Times New Roman" w:cs="Times New Roman"/>
                <w:sz w:val="24"/>
              </w:rPr>
              <w:t xml:space="preserve">нистерстве просвещения, науки и по делам молодежи Кабардино-Балкарской Республики» утверждены Положение об организации системы внутреннего обеспечения соответствия требованиям антимонопольного законодательства Российской Федерации и состав рабочей группы. 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</w:rPr>
              <w:t xml:space="preserve">При заключении договоров и контрактов, одной из сторон которых является Министерство, конкурсная документация и договоры проходят процедуру согласования и визирования с заведующим сектором по вопросам противодействия коррупции Министерства. 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r/>
            <w:r/>
          </w:p>
        </w:tc>
      </w:tr>
      <w:tr>
        <w:trPr>
          <w:trHeight w:val="1020"/>
        </w:trPr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5</w:t>
            </w:r>
            <w:r>
              <w:rPr>
                <w:sz w:val="22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2.8.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Анализ практики рассмотрения органами государственной власти Кабардино-Балкарской Республики и органами местного самоуправления обращений граждан и организаций по фактам коррупции, а также принятые по таким обращениям меры реагирования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0" w:right="0" w:firstLine="142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В 2021 г. обращений граждан о проявлениях коррупции в министерстве не поступало.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r/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6</w:t>
            </w:r>
            <w:r>
              <w:rPr>
                <w:sz w:val="22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2.9.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еализация мер профилактики коррупции, ориентированных на снижение коррупционных рисков и обеспечение открытости власти, в том числе при реализации исполнительными органами государственной власти Кабардино-Балкарской Республики лицензионно-разрешительных по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лномочий, осуществлении контрольно-надзорных функций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pStyle w:val="621"/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С 1 января 2021 года в соответствии с </w:t>
            </w:r>
            <w:r>
              <w:rPr>
                <w:rFonts w:ascii="Times New Roman" w:hAnsi="Times New Roman" w:cs="Times New Roman"/>
                <w:sz w:val="22"/>
              </w:rPr>
              <w:t xml:space="preserve">Федеральным законом от 27 декабря </w:t>
            </w:r>
            <w:r>
              <w:rPr>
                <w:rFonts w:ascii="Times New Roman" w:hAnsi="Times New Roman" w:cs="Times New Roman"/>
                <w:sz w:val="22"/>
              </w:rPr>
              <w:t xml:space="preserve">2019 г. № 478-ФЗ «О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деятельности» предусмотрен приоритет подачи заявлений о </w:t>
            </w:r>
            <w:r>
              <w:rPr>
                <w:rStyle w:val="630"/>
                <w:rFonts w:ascii="Times New Roman" w:hAnsi="Times New Roman" w:cs="Times New Roman"/>
                <w:sz w:val="22"/>
              </w:rPr>
              <w:t xml:space="preserve">предоставлении (переоформлении) лицензий в электронной форме.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629"/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</w:t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2"/>
                <w:szCs w:val="22"/>
              </w:rPr>
              <w:t xml:space="preserve">и предоставлении государственной услуги от заявителей не требуются документы, подтверждение которых Минпросвещения КБР получает в рамках межведомственного взаимодействия с Федеральной налоговой службой по Кабардино-Балкарской Республики, 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2"/>
              </w:rPr>
              <w:t xml:space="preserve">Управлением Федеральной службы по надзору в сфере защиты прав потребителей и благополучия человека по Кабардино-Балкарской Республике Управлением</w:t>
            </w:r>
            <w:r>
              <w:rPr>
                <w:rStyle w:val="631"/>
                <w:rFonts w:ascii="Times New Roman" w:hAnsi="Times New Roman" w:cs="Times New Roman" w:eastAsia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2"/>
              </w:rPr>
              <w:t xml:space="preserve">Федерального казначейства по Кабардино-Балкарской Республике.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629"/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2"/>
              </w:rPr>
              <w:t xml:space="preserve">Сведения 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2"/>
              </w:rPr>
              <w:t xml:space="preserve">о заявлении и прилагаемых к нему документах, о ходе и сроках рассмотрения документов, о проведении проверок, о результате рассмотрения заявления и принятии решения вносятся в информационную систему, обеспечивающую автоматизацию контрольно-надзорной деятель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2"/>
              </w:rPr>
              <w:t xml:space="preserve">ности за органами государственной власти субъектов Российской Федерации, исполняющими переданные полномочия Российской Федерации в сфере образования (ИС АКНДПП) и находятся под постоянным контролем Федеральной службы по надзору в сфере образования и науки.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2"/>
                <w:highlight w:val="none"/>
              </w:rPr>
            </w:r>
            <w:r>
              <w:rPr>
                <w:sz w:val="22"/>
              </w:rPr>
            </w:r>
          </w:p>
          <w:p>
            <w:pPr>
              <w:pStyle w:val="629"/>
              <w:numPr>
                <w:ilvl w:val="0"/>
                <w:numId w:val="0"/>
              </w:num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  <w:sz w:val="22"/>
              </w:rPr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За отчетный период получено 100 заявлений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: 42 заявления о предоставлении лицензии на осуществление образовательной деятельности, 52 заявления о переоформлении лицензии и приложений, 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6 заявлений о прекращении действия лицензии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. 94 заявлени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я поданы в электронном виде через ПГУ, что составило 94% от общего количества рассмотренных заявлений.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629"/>
              <w:numPr>
                <w:ilvl w:val="0"/>
                <w:numId w:val="0"/>
              </w:numPr>
              <w:ind w:left="142" w:right="221" w:firstLine="0"/>
              <w:jc w:val="both"/>
              <w:spacing w:lineRule="auto" w:line="240"/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Проведено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92 документарных и 63 выездных проверок. </w:t>
            </w:r>
            <w:r/>
          </w:p>
          <w:p>
            <w:pPr>
              <w:pStyle w:val="629"/>
              <w:numPr>
                <w:ilvl w:val="0"/>
                <w:numId w:val="0"/>
              </w:num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Принято 41 решение о  предоставлении лицензии на осуществление образовательной деятельности  и 48 решений о переоформлении лицензий на осуществление образовательной деятельности и приложений к ним.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Заявителям направлены 98 выписок из реестра лицензий в форме электронного документа в личные кабинеты СИР ПГУ.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Всего за отчетный период в различные вед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омства направлены 270 запросов. 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За отчетный период в рамках предоставления государственной услуги по государственной аккредитации образовательной деятельности получено — 8 заявлений на переоформление свидетельства.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629"/>
              <w:numPr>
                <w:ilvl w:val="0"/>
                <w:numId w:val="0"/>
              </w:numPr>
              <w:ind w:left="142" w:right="221" w:firstLine="0"/>
              <w:jc w:val="both"/>
              <w:spacing w:lineRule="auto" w:line="240"/>
              <w:tabs>
                <w:tab w:val="left" w:pos="758" w:leader="none"/>
              </w:tabs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  <w:highlight w:val="none"/>
              </w:rPr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Всего за отчетный период переоформлено 9 свидетельств о государственной аккредитации.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629"/>
              <w:numPr>
                <w:ilvl w:val="0"/>
                <w:numId w:val="0"/>
              </w:numPr>
              <w:ind w:left="-141" w:right="175" w:firstLine="567"/>
              <w:jc w:val="both"/>
              <w:rPr>
                <w:rFonts w:ascii="Times New Roman" w:hAnsi="Times New Roman" w:cs="Times New Roman" w:eastAsia="Times New Roman"/>
                <w:color w:val="auto"/>
                <w:sz w:val="22"/>
              </w:rPr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Анализ работы  за отчетный период позволяет сделать следующие </w:t>
            </w:r>
            <w:r>
              <w:rPr>
                <w:rFonts w:ascii="Times New Roman" w:hAnsi="Times New Roman" w:cs="Times New Roman" w:eastAsia="Times New Roman"/>
                <w:b/>
                <w:bCs/>
                <w:color w:val="auto"/>
                <w:sz w:val="22"/>
                <w:szCs w:val="28"/>
              </w:rPr>
              <w:t xml:space="preserve">выводы: 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  <w:p>
            <w:pPr>
              <w:pStyle w:val="629"/>
              <w:numPr>
                <w:ilvl w:val="0"/>
                <w:numId w:val="0"/>
              </w:numPr>
              <w:ind w:left="-141" w:right="175" w:firstLine="567"/>
              <w:jc w:val="both"/>
              <w:rPr>
                <w:rFonts w:ascii="Times New Roman" w:hAnsi="Times New Roman" w:cs="Times New Roman" w:eastAsia="Times New Roman"/>
                <w:color w:val="auto"/>
                <w:sz w:val="22"/>
              </w:rPr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- требования к проведению процедур лицензирования, государственной аккредитации и подтверждения документов государственного образца по итогам 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2"/>
                <w:szCs w:val="28"/>
                <w:u w:val="none"/>
                <w:lang w:val="en-US"/>
              </w:rPr>
              <w:t xml:space="preserve">II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2"/>
                <w:szCs w:val="28"/>
                <w:u w:val="none"/>
                <w:lang w:val="ru-RU"/>
              </w:rPr>
              <w:t xml:space="preserve">полугодия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 2021 года выполняются; 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  <w:p>
            <w:pPr>
              <w:pStyle w:val="629"/>
              <w:numPr>
                <w:ilvl w:val="0"/>
                <w:numId w:val="1"/>
              </w:numPr>
              <w:ind w:left="-141" w:right="175" w:firstLine="567"/>
              <w:jc w:val="both"/>
              <w:rPr>
                <w:rFonts w:ascii="Times New Roman" w:hAnsi="Times New Roman" w:cs="Times New Roman" w:eastAsia="Times New Roman"/>
                <w:color w:val="auto"/>
                <w:sz w:val="22"/>
              </w:rPr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предоставление государственн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ых услуг, а также принятые меры, в рамках проведения процедур лицензирования и государственной аккредитации способствовали приведению деятельности образовательных учреждений и организаций в соответствие с действующим законодательством Российской Федерации.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  <w:p>
            <w:pPr>
              <w:ind w:left="142" w:right="208" w:firstLine="0"/>
              <w:jc w:val="both"/>
              <w:rPr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2"/>
                <w:highlight w:val="none"/>
              </w:rPr>
              <w:t xml:space="preserve">За 2021 г. отделом по надзору и контролю законодательства в сфере образования проведено всего 67 комплексных проверок по федеральному государственному надзору в сфере образования, федеральному государственно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2"/>
                <w:highlight w:val="none"/>
              </w:rPr>
              <w:t xml:space="preserve">му кон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2"/>
                <w:highlight w:val="none"/>
              </w:rPr>
              <w:t xml:space="preserve">тр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2"/>
                <w:highlight w:val="none"/>
              </w:rPr>
              <w:t xml:space="preserve">олю качества образования, лицензионному контролю. Плановых: 55, внеплановых: 12. Образовательным учреждениям вынесено 55 предписаний об устранении нарушений федерального законодательства в сфере образования. В отчетном периоде составлено 6 протоколов об административном правонарушении (судом вынесено 3 наказания-штраф и предупреждение, 3 административных дела находятся на рассмотрении).</w:t>
            </w:r>
            <w:r>
              <w:rPr>
                <w:sz w:val="22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7</w:t>
            </w:r>
            <w:r>
              <w:rPr>
                <w:sz w:val="22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2.10.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роведение мероприятий по профессиональному развитию в области противодействия коррупции государственных гражданских служащих, муниципальных служащих и работников, в должностные обязанности которых входит участие в противодействии коррупции, а также работни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ков кадровых подразделений, в том числе их обучение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142" w:right="350" w:firstLine="0"/>
              <w:jc w:val="both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В 2021 г. по дополнительной профессиональной программе «Противодействие коррупции в системе государственного и муниципального управления» прошли обучение 4 государственных гражданских служащих, в чьи 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должностные обязанности входит участие в противодействии коррупции.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2.11.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/>
          </w:p>
        </w:tc>
        <w:tc>
          <w:tcPr>
            <w:tcW w:w="34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роведение мероприятий по профессиональному развитию в области противодействия коррупции для лиц, впервые поступивших на государственную гражданскую службу, муниципальную службу и работу в соответствующие организации и замещающих должности, связанные с собл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юдением антикоррупционных стандартов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W w:w="10738" w:type="dxa"/>
            <w:vMerge w:val="restart"/>
            <w:textDirection w:val="lrTb"/>
            <w:noWrap w:val="false"/>
          </w:tcPr>
          <w:p>
            <w:pPr>
              <w:ind w:left="283" w:right="350" w:firstLine="0"/>
              <w:jc w:val="both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В 2021 г. по дополнительной профессиональной программе «Противодействие коррупции в системе государственного и муниципального управления» прошли обучение 3 государственных гражданских служащих, впервые поступившие на государственную гражданскую службу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 и замещающие должности, связанные с соблюдением антикоррупционных стандартов.</w:t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9</w:t>
            </w:r>
            <w:r>
              <w:rPr>
                <w:sz w:val="22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2.12.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роведение мероприятий по профессиональному развитию в области противодействия коррупции государственных гражданских служащих, муниципальных служащих и работников, в должностные обязанности которых входит участие в проведении закупок товаров, работ, услуг д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ля обеспечения государственных и муниципальных нужд, в том числе их обучение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pStyle w:val="628"/>
              <w:ind w:left="283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Государственные гражданские служащие в чьи должностные обязанности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 входит участие в проведении закупок товаров, работ, услуг д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ля обеспечения государственных и муниципальных нужд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, включены в Государственный заказ на повышение квалификации.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10</w:t>
            </w:r>
            <w:r>
              <w:rPr>
                <w:sz w:val="22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2.14.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Проведение анализа эффективности реализации ведомственных и муниципальных программ (планов) противодействия коррупции и внесение рекомендаций по повышению эффективности их реализации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соответствии с протоколом №1 (27) заочного заседания Общественного совета при Минпро</w:t>
            </w:r>
            <w:r>
              <w:rPr>
                <w:rFonts w:ascii="Times New Roman" w:hAnsi="Times New Roman" w:cs="Times New Roman"/>
                <w:sz w:val="24"/>
              </w:rPr>
              <w:t xml:space="preserve">свещения КБР от 05.02.2021 г. рассмотрен отчет о реализации мероприятий подпрограммы «Противодействие коррупции» и госпрограммы «Укрепление обще</w:t>
            </w:r>
            <w:r>
              <w:rPr>
                <w:rFonts w:ascii="Times New Roman" w:hAnsi="Times New Roman" w:cs="Times New Roman"/>
                <w:sz w:val="24"/>
              </w:rPr>
              <w:t xml:space="preserve">ственного порядка и общественной безопасности в КБР» «Об исполнении ведомственной целевой программы по реализации антикоррупционной политики в сфере деятельности Минпросвещения КБР на 2017-2020 гг.» и принято решение о его размещении на официальном сайте. </w:t>
            </w:r>
            <w:r>
              <w:rPr>
                <w:rFonts w:ascii="Times New Roman" w:hAnsi="Times New Roman" w:cs="Times New Roman"/>
                <w:sz w:val="24"/>
              </w:rPr>
              <w:t xml:space="preserve">Утвержден План мероприятий по реализации антикоррупционной политики в сфере деятельности Минпросвещения КБР на </w:t>
            </w:r>
            <w:r>
              <w:rPr>
                <w:rFonts w:ascii="Times New Roman" w:hAnsi="Times New Roman" w:cs="Times New Roman"/>
                <w:sz w:val="24"/>
              </w:rPr>
              <w:t xml:space="preserve">2021-2025 гг. приказом Минпросвещения КБР от 29.01.2021 г. № 22/51. Проводимая работа по вопросам противодействия коррупции в Минпросвещения КБР признана удовлетворительной.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</w:r>
            <w:r/>
          </w:p>
          <w:p>
            <w:r/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11</w:t>
            </w:r>
            <w:r>
              <w:rPr>
                <w:sz w:val="22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2.18.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Мониторинг обращений граждан о проявлениях коррупции в исполнительных органах государственной власти КБР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0" w:right="0" w:firstLine="142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В 2021 г. обращений граждан о проявлениях коррупции в министерстве не поступало.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2.19.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/>
          </w:p>
        </w:tc>
        <w:tc>
          <w:tcPr>
            <w:tcW w:w="3477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Реализация комплекса мер по предупреждению и минимизации бытовой коррупции в сферах образования, здравоохранения и социальной защиты населения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/>
          </w:p>
        </w:tc>
        <w:tc>
          <w:tcPr>
            <w:tcW w:w="10738" w:type="dxa"/>
            <w:vMerge w:val="restart"/>
            <w:textDirection w:val="lrTb"/>
            <w:noWrap w:val="false"/>
          </w:tcPr>
          <w:p>
            <w:pPr>
              <w:ind w:left="142" w:right="221" w:firstLine="0"/>
              <w:jc w:val="both"/>
              <w:spacing w:lineRule="auto" w:line="240"/>
            </w:pPr>
            <w:r>
              <w:rPr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t xml:space="preserve">С целью минимизации бы</w:t>
            </w:r>
            <w:r>
              <w:rPr>
                <w:rFonts w:ascii="Times New Roman" w:hAnsi="Times New Roman" w:cs="Times New Roman"/>
                <w:sz w:val="24"/>
              </w:rPr>
              <w:t xml:space="preserve">товой коррупции в сфере образования министерством разработан приказ Минпросвещения КБР от 08.10.2018 г. № 730 «О мерах по предупреждению незаконного сбора денежных средств с родителей (законных представителей) обучающихся, воспитанников государственных и м</w:t>
            </w:r>
            <w:r>
              <w:rPr>
                <w:rFonts w:ascii="Times New Roman" w:hAnsi="Times New Roman" w:cs="Times New Roman"/>
                <w:sz w:val="24"/>
              </w:rPr>
              <w:t xml:space="preserve">униципальных образовательных организаций КБР и минимизации бытовой коррупции». Данный приказ доведенных до сведения всех заинтересованных. В ходе поступления обращений граждан по данному вопросу используется разработанный примерный перечень вопросов для пр</w:t>
            </w:r>
            <w:r>
              <w:rPr>
                <w:rFonts w:ascii="Times New Roman" w:hAnsi="Times New Roman" w:cs="Times New Roman"/>
                <w:sz w:val="24"/>
              </w:rPr>
              <w:t xml:space="preserve">оведения мониторинга мнения родителей по вопросу оказания платных услуг и привлечения и расходования добровольных пожертвований физических и юридических лиц. Кроме того, разработана «Памятка для родителей» и образцы договоров для пожертвования денежного и </w:t>
            </w:r>
            <w:r>
              <w:rPr>
                <w:rFonts w:ascii="Times New Roman" w:hAnsi="Times New Roman" w:cs="Times New Roman"/>
                <w:sz w:val="24"/>
              </w:rPr>
              <w:t xml:space="preserve">неденежного имущества. К руководителям образовательных учреждений, допустившим нарушения по порядку оказания платных образовательных услуг, привлечению и расходованию добровольных пожертвований физических и юридических лиц</w:t>
            </w:r>
            <w:r>
              <w:rPr>
                <w:rFonts w:ascii="Times New Roman" w:hAnsi="Times New Roman" w:cs="Times New Roman"/>
                <w:sz w:val="24"/>
              </w:rPr>
              <w:t xml:space="preserve">, применяются меры строгой дисциплинарной ответственности в соответствии с законодательством РФ.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13</w:t>
            </w:r>
            <w:r>
              <w:rPr>
                <w:sz w:val="22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2.20.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Поддержание в актуальном состоянии административных регламентов предоставления государственных услуг 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Структурными подразделениями Министерства просвещения, науки и по делам молодежи КБР проводится системный анализ регламентов предоставления государственных услуг на предмет актуальности.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В 4 квартале 2019 г. приказом Минп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освещения от 07.10.2019 г. №893 «Об утверждении административных регламентов по предоставлению государственных услуг в Минпросвещения КБР» утверждены 21 административный регламент Минпросвещения КБР по предоставлению государственных и муниципальных услуг.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/>
          </w:p>
          <w:p>
            <w:p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В настоящий момент разрабатываются проекты изменений в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регламенты предоставления государственных услуг, в связи с изменением законодательства в данной сфере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/>
          </w:p>
          <w:p>
            <w:r/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14</w:t>
            </w:r>
            <w:r>
              <w:rPr>
                <w:sz w:val="22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28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2.23.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pStyle w:val="628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</w:rPr>
              <w:t xml:space="preserve">Организация специальных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</w:rPr>
              <w:t xml:space="preserve"> курсов повышения квалификации для работников общеобразовательных организаций, организаций начального и среднего профессионального образования по теме использования элементов антикоррупционного воспитания на уроках истории, экономики, права, обществознания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firstLine="708"/>
              <w:jc w:val="both"/>
              <w:spacing w:lineRule="auto" w:line="240" w:after="0"/>
              <w:rPr>
                <w:rFonts w:ascii="Times New Roman" w:hAnsi="Times New Roman" w:cs="Times New Roman" w:eastAsia="Calibri"/>
                <w:sz w:val="22"/>
              </w:rPr>
            </w:pP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В рамках реализации пункта 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подпрограммы «Противодействие коррупции» государственной программы КБР «Профилактика правонарушений и укрепление общественного порядка и общественной безопасности в КБР» 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с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 5 по 14 апреля 2021 года под методическим руководством ГБУ ДО «Центр непрерывного повышения профессионального мастерства педагогических работников» 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Минпросвещения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 КБР организованы курсы повышения квалификации для работников общеобразовательных организаций, организаций начального и среднего профессионального образования по теме использования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 элементов антикоррупционного воспитания на уроках истории, экономики, права, обществознания. Общий охват слушателей составил  40 человек.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ind w:firstLine="708"/>
              <w:jc w:val="both"/>
              <w:spacing w:lineRule="auto" w:line="240" w:after="0"/>
              <w:rPr>
                <w:rFonts w:ascii="Times New Roman" w:hAnsi="Times New Roman" w:cs="Times New Roman" w:eastAsia="Calibri"/>
                <w:sz w:val="22"/>
              </w:rPr>
            </w:pP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Курсы проведены в соответств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ии с утвержденной программой  «Использование элементов антикоррупционного воспитания на уроках истории, экономики, права, обществознания» и учебным планом. Нормативный срок освоения образовательной программы 36 часов в режиме «очно-дистанционное обучение».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ind w:left="0" w:right="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15</w:t>
            </w:r>
            <w:r>
              <w:rPr>
                <w:sz w:val="22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28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2.25.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pStyle w:val="628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</w:rPr>
              <w:t xml:space="preserve">Проведение республиканского молодежного форума "Стоп, коррупция!"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firstLine="0"/>
              <w:jc w:val="both"/>
              <w:spacing w:lineRule="auto" w:line="240" w:after="0"/>
              <w:rPr>
                <w:rFonts w:ascii="Times New Roman" w:hAnsi="Times New Roman" w:cs="Times New Roman" w:eastAsia="Calibri"/>
                <w:sz w:val="22"/>
              </w:rPr>
            </w:pP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7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 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ноября 2021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Минпросвещения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 КБР проведен республиканский молодежный форум «Стоп, коррупция!».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ind w:firstLine="708"/>
              <w:jc w:val="both"/>
              <w:spacing w:lineRule="auto" w:line="240" w:after="0"/>
              <w:rPr>
                <w:rFonts w:ascii="Times New Roman" w:hAnsi="Times New Roman" w:cs="Times New Roman" w:eastAsia="Calibri"/>
                <w:sz w:val="22"/>
              </w:rPr>
            </w:pP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Мероприятие проведено в целях вовлечения молодежи в реализацию антикоррупционной политики, формирования активной гражданской позиции, стимулиро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вания творческой и общественной деятельности молодежи в сфере противодействия коррупции, предоставления молодежи возможности выразить свое отношение к проблеме коррупции, формирования антикоррупционного мировоззрения и повышения правовой культуры молодежи.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ind w:firstLine="708"/>
              <w:jc w:val="both"/>
              <w:spacing w:lineRule="auto" w:line="240" w:after="0"/>
              <w:rPr>
                <w:rFonts w:ascii="Times New Roman" w:hAnsi="Times New Roman" w:cs="Times New Roman" w:eastAsia="Calibri"/>
                <w:sz w:val="22"/>
              </w:rPr>
            </w:pP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При проведении форума привлечены представители исполнительных органов государственной власти КБР, 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управления по вопросам противодействия коррупции Администрации Главы КБР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, Прокуратуры КБР, 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Управления экономической безопасности и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 противодействия коррупции МВД 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по Кабардино-Балкарской Республике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.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ind w:firstLine="708"/>
              <w:jc w:val="both"/>
              <w:spacing w:lineRule="auto" w:line="240" w:after="0"/>
              <w:rPr>
                <w:rFonts w:ascii="Times New Roman" w:hAnsi="Times New Roman" w:cs="Times New Roman" w:eastAsia="Calibri"/>
                <w:sz w:val="22"/>
              </w:rPr>
            </w:pP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Участниками мероприя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тия стали студенты образовательных организаций среднего профессионального образования КБР, представители Кабардино-Балкарского регионального отделения общероссийской общественно-государственной детско-юношеской организации «Российское движение школьников».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ind w:firstLine="708"/>
              <w:jc w:val="both"/>
              <w:spacing w:lineRule="auto" w:line="240" w:after="0"/>
              <w:rPr>
                <w:rFonts w:ascii="Times New Roman" w:hAnsi="Times New Roman" w:cs="Times New Roman" w:eastAsia="Calibri"/>
                <w:sz w:val="22"/>
              </w:rPr>
            </w:pP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В рамках мероприятия организованы тематические дискуссии, тренинги с опытными экспертами.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16</w:t>
            </w:r>
            <w:r>
              <w:rPr>
                <w:sz w:val="22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28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2.26.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pStyle w:val="628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</w:rPr>
              <w:t xml:space="preserve">Проведение мероприятий, посвященных Международному дню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</w:rPr>
              <w:t xml:space="preserve">борьбы с коррупцией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283" w:righ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1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В 256 учреждениях образования КБР в рамках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Международного дня борьбы с </w:t>
            </w:r>
            <w:r>
              <w:rPr>
                <w:rFonts w:ascii="Times New Roman" w:hAnsi="Times New Roman" w:cs="Times New Roman" w:eastAsia="Times New Roman"/>
                <w:color w:val="000000"/>
                <w:spacing w:val="10"/>
                <w:sz w:val="22"/>
              </w:rPr>
              <w:t xml:space="preserve">коррупцией проведен </w:t>
            </w:r>
            <w:r>
              <w:rPr>
                <w:rFonts w:ascii="Times New Roman" w:hAnsi="Times New Roman" w:cs="Times New Roman" w:eastAsia="Times New Roman"/>
                <w:color w:val="000000"/>
                <w:spacing w:val="10"/>
                <w:sz w:val="22"/>
              </w:rPr>
              <w:t xml:space="preserve">единый классный час «Вместе против коррупции».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  <w:p>
            <w:pPr>
              <w:ind w:left="0" w:right="0" w:firstLine="283"/>
              <w:jc w:val="both"/>
              <w:spacing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pacing w:val="10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В целях формирования антикоррупционного мышления у обучающихся образовательных учреждений г.о. Нальчик, в рамках декады «Нет коррупции!» к Международному дню борьбы с коррупцией, Департамент образования Местной админ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истрации г.о. Нальчик и Управлением кадр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ов Местной администрации г.о. Нальчик совместно с МО ООГДЮО «Российское движение школьников»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0 декабря 2021 года проведен конкурс детского рисунка «Коррупция глазами ребенка».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В конкурсе приняли участие 220 обучающихся образовательных учреждений г.о. Нальчик. </w:t>
            </w:r>
            <w:r>
              <w:rPr>
                <w:rFonts w:ascii="PT Sans" w:hAnsi="PT Sans" w:cs="PT Sans" w:eastAsia="PT Sans"/>
                <w:color w:val="000000" w:themeColor="text1"/>
                <w:sz w:val="24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Руководителям образовательных учреждений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рекомендовано поощрить победителей и призеров конкурса.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</w:r>
          </w:p>
          <w:p>
            <w:pPr>
              <w:ind w:left="0" w:right="0" w:firstLine="283"/>
              <w:jc w:val="both"/>
              <w:spacing w:lineRule="auto" w:line="240"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В образовательных учреждениях Прохладненского муницип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ального района КБР в период с 1 по 10 декабря 2021 года в рамках Международного дня борьбы с коррупцией проведены следующие мероприятия: волонтерская акция, классные часы во 2-11 классах, уроки по обществознанию, круглые столы среди учащихся 9-11 классов,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беседы,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конкурсы рисунков и плакатов по антикоррупционной тематике для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учащихся 2-10 классов, книжные выставки, видео-презентация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Уч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fill="FFFFFF" w:color="FFFFFF"/>
              </w:rPr>
              <w:t xml:space="preserve">ащиеся образовательных учреждений приняли активное участие в конкурсе «Мы против коррупции!», проведенном местной администрации Прохладненского муниципального района (постановление от 29.10.2021 г. №646).</w:t>
            </w:r>
            <w:r>
              <w:rPr>
                <w:rFonts w:ascii="Times New Roman" w:hAnsi="Times New Roman" w:cs="Times New Roman"/>
                <w:sz w:val="22"/>
                <w:szCs w:val="24"/>
              </w:rPr>
            </w:r>
            <w:r>
              <w:rPr>
                <w:sz w:val="22"/>
              </w:rPr>
            </w:r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     В рамках Международного дня борьбы с коррупцией, в целях 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fill="FFFFFF" w:color="FFFFFF"/>
              </w:rPr>
              <w:t xml:space="preserve">формирования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fill="FFFFFF" w:color="FFFFFF"/>
              </w:rPr>
              <w:t xml:space="preserve">антикоррупционного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fill="FFFFFF" w:color="FFFFFF"/>
              </w:rPr>
              <w:t xml:space="preserve"> мировоззрения, повышения уровня правосознания и правовой культуры 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09.12.2021 г. помощником прокурора Прохладненского района проведена лекция по вопросам противодействия коррупции, для учащихся 8-11 классов 3 общеобразовательных учреждений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МКОУ «СОШ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.П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рималкинского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», МКОУ «ООШ им.И.Радченко с.Ново-Полтавского», МКОУ«СОШ с.Учебного»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).</w:t>
            </w:r>
            <w:r>
              <w:rPr>
                <w:rFonts w:ascii="Times New Roman" w:hAnsi="Times New Roman" w:cs="Times New Roman"/>
                <w:sz w:val="22"/>
                <w:szCs w:val="24"/>
              </w:rPr>
            </w:r>
            <w:r>
              <w:rPr>
                <w:sz w:val="22"/>
              </w:rPr>
            </w:r>
          </w:p>
          <w:p>
            <w:pPr>
              <w:pStyle w:val="621"/>
              <w:ind w:left="0" w:right="0" w:firstLine="425"/>
              <w:jc w:val="both"/>
              <w:spacing w:lineRule="auto" w:line="240"/>
              <w:rPr>
                <w:rFonts w:ascii="Times New Roman" w:hAnsi="Times New Roman" w:cs="Times New Roman"/>
                <w:sz w:val="22"/>
              </w:rPr>
            </w:pPr>
            <w:r>
              <w:rPr>
                <w:sz w:val="22"/>
              </w:rPr>
            </w:r>
            <w:bookmarkStart w:id="0" w:name="_GoBack"/>
            <w:r>
              <w:rPr>
                <w:sz w:val="22"/>
              </w:rPr>
            </w:r>
            <w:bookmarkEnd w:id="0"/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Зольский муниципальный район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9 декабря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2021г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проведен Единый классный час,  приуроченный  к Международному  дню борьбы с коррупцией «Как победить коррупцию», общешкольный информационный час «Российское законодательство против  коррупции». </w:t>
            </w:r>
            <w:r>
              <w:rPr>
                <w:rFonts w:ascii="Times New Roman" w:hAnsi="Times New Roman" w:cs="Times New Roman"/>
                <w:sz w:val="22"/>
                <w:szCs w:val="28"/>
              </w:rPr>
            </w:r>
            <w:r>
              <w:rPr>
                <w:sz w:val="22"/>
              </w:rPr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Проведены к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лассные часы по теме антикоррупционной направленности: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 «Мои права», «Я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 гражданин», «Если бы я стал президентом»,  «Легко ли всегда быть честным?», «Потребности и желания», «Гражданское общ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ество и борьба с коррупцией», «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Источники и причины коррупции», «Учащиеся против коррупции», «Условия эффективного про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тиводействия коррупции». 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</w:r>
            <w:r>
              <w:rPr>
                <w:sz w:val="22"/>
              </w:rPr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Во 2-4 классах  проведены беседы «Что такое хорошо и что такое плохо?»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, «Что такое коррупция». </w:t>
            </w:r>
            <w:r>
              <w:rPr>
                <w:rFonts w:ascii="Times New Roman" w:hAnsi="Times New Roman" w:cs="Times New Roman"/>
                <w:sz w:val="22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4"/>
                <w:highlight w:val="none"/>
              </w:rPr>
            </w:r>
          </w:p>
          <w:p>
            <w:pPr>
              <w:contextualSpacing w:val="false"/>
              <w:ind w:left="0" w:right="0" w:firstLine="425"/>
              <w:jc w:val="both"/>
              <w:spacing w:lineRule="auto" w:line="240"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В рамках отмечаемого Международного дня борьбы с коррупцией в Баксанском районе состоялся «круглый стол» «Скажем коррупции нет».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Встреча прошла в первой школе с. Исламей, куда были приглашены представители органов власти, правоохранительной системы, общественных организаций, учащиеся образовательных учреждений села.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Участникам «круглого стола» продемонстрировали экспозицию на антикоррупционную тематику, подготовили раздаточные информационные материалы и памятки по противодействию коррупции в обществе. О работе, пр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оводимой в рамках муниципальной профильной программы, п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одробно рассказал заместитель главы райадминистрации Мухамед Тохтамышев. Он также отметил, что наиболее эффективным методом борьбы с коррупцией является ужесточения наказания.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О мерах наказания за дачу и получение взятки собравшимся напомнила помощник прокурора Баксанского района Милана Абазова. Она призвала участников встречи подробнее изучить действующее законодательство и активно содействовать пресечению проявлений коррупции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не только на территории Баксанского района.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</w:r>
          </w:p>
          <w:p>
            <w:pPr>
              <w:contextualSpacing w:val="false"/>
              <w:ind w:left="0" w:right="0" w:firstLine="425"/>
              <w:jc w:val="both"/>
              <w:spacing w:lineRule="auto" w:line="240"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В Эльбрусском муниципальном районе в мероприятиях, посвященных Международному дню борьбы с коррупцией приняли участие 13 ОУ. с 5 по 12.12.2021 г. проведен конкурс рисунков «Стоп коррупция», в котором приняли участие 47 учащихся. Проведены классные часы среди 7-11 классов охват 550 человек. 5 круглых столов с приглашением представителей администрации, правоохранительных органов,  с демонстрацией фильма «Коррупция-угроза национальной безопасности» с охватом 120 человек.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</w:p>
          <w:p>
            <w:pPr>
              <w:contextualSpacing w:val="false"/>
              <w:ind w:left="0" w:right="0" w:firstLine="425"/>
              <w:jc w:val="both"/>
              <w:spacing w:lineRule="auto" w:line="240"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000000"/>
                <w:sz w:val="21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В соответствии с подпрограммой «Профилактика коррупции в городском округе Прохладный КБР» муниципальной программы «Профилактика правонарушений и укрепление общественного порядка и общественной безопасности в городском округе Прохладный КБР», утвержденно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й постановлением местной администрации городского округа Прохладный КБР от 29.03.2021г. №292, в целях формирования мнения подрастающего поколения, направленного на негативное отношение к коррупции, воспитания активной гражданской и правовой позиции подраст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ающего поколения с 13.09.2021г. по 20.10.2021г. проведен конкурс на лучший плакат антикоррупционной направленности, в котором приняли участие 49 учащихся и 2 сотрудника общеобразовательных учреждений г.о. Прохладный КБР.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Победители и призеры награждены грамотами МУ «Управление образования местной администрации г. о. Прохладный КБР» и подарками.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</w:p>
          <w:p>
            <w:pPr>
              <w:ind w:left="0" w:right="0" w:firstLine="425"/>
              <w:jc w:val="both"/>
              <w:spacing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В конференц-зале местной администрации г.о.Баксан состоялось награждение победителей и призёров конкурса социальной рекламы антикоррупционной направленности.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Конкурс проводился в целях привлечения внимания институтов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гражданского общества, граждан, организаций к проблеме противодействия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</w:r>
          </w:p>
          <w:p>
            <w:pPr>
              <w:ind w:left="0" w:right="0" w:firstLine="0"/>
              <w:jc w:val="both"/>
              <w:spacing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коррупции, формирования общественного неприятия коррупции как преступного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явления, разрушающего гражданское общество, экономику и государственные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институты.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</w:r>
          </w:p>
          <w:p>
            <w:pPr>
              <w:ind w:left="0" w:right="0" w:firstLine="0"/>
              <w:jc w:val="both"/>
              <w:spacing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В конкурсе приняли участие более 60 учащихся в следующих номинациях: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</w:r>
          </w:p>
          <w:p>
            <w:pPr>
              <w:ind w:left="0" w:right="0" w:firstLine="0"/>
              <w:jc w:val="both"/>
              <w:spacing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- "Лучший видеоролик антикоррупционной направленности";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</w:r>
          </w:p>
          <w:p>
            <w:pPr>
              <w:ind w:left="0" w:right="0" w:firstLine="0"/>
              <w:jc w:val="both"/>
              <w:spacing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-"Лучший аудиоролик антикоррупционной направленности";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</w:r>
          </w:p>
          <w:p>
            <w:pPr>
              <w:ind w:left="0" w:right="0" w:firstLine="0"/>
              <w:jc w:val="both"/>
              <w:spacing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- "Лучший рисунок антикоррупционной направленности";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</w:r>
          </w:p>
          <w:p>
            <w:pPr>
              <w:ind w:left="0" w:right="0" w:firstLine="0"/>
              <w:jc w:val="both"/>
              <w:spacing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- "Лучший плакат антикоррупционной направленности"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</w:r>
          </w:p>
          <w:p>
            <w:pPr>
              <w:ind w:left="0" w:right="0" w:firstLine="0"/>
              <w:jc w:val="both"/>
              <w:spacing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- "Лучшая стенгазета антикоррупционной направленности";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</w:r>
          </w:p>
          <w:p>
            <w:pPr>
              <w:contextualSpacing w:val="false"/>
              <w:ind w:left="0" w:right="0" w:firstLine="0"/>
              <w:jc w:val="both"/>
              <w:spacing w:lineRule="auto" w:line="240"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- "Лучший мини-рисунок антикоррупционной направленности".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</w:p>
          <w:p>
            <w:pPr>
              <w:ind w:left="0" w:right="0" w:firstLine="425"/>
              <w:jc w:val="both"/>
              <w:spacing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В общеобразовательных учреждениях Майского муниципального района с 06.12.2021 по 17.12.2021 проводятся мероприятия, посвященные Международному Дню борьбы с коррупцией.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07.12.2021 в МКОУ СОШ № 5 г. Майского прошел классный час в 7 «Б» классе «Коррупция глазами детей» (классный руководитель Пивоварова Т.Ю.), в МКОУ СОШ № 2 г. Майского прошел открытый урок по обществознанию «История коррупции» в 10-11 классах (учитель Болот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окова М.А.). 08.12.2021 в МКОУ «СОШ № 3 с углубленным изучением отдельных предметов г. Майского» прошел урок правовых знаний «Быть честным» (учитель Хаткова Е.В.).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Ярким и запоминающимся стало проведение классного часа в МКОУ «Гимназия № 1 г. Майского» под названием «Коррупция в мире сказок» (учитель Каратун Н.Д.). Мероприятие проходило в 3 «В» классе, но, несмотря на это, учащиеся поставили театрализованную сценку п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о мотивам русских народных сказок. Не менее интересным было проведение урока-диспута в МКОУ ООШ № 10 г. Майского, на котором учащиеся также могли поучаствовать в импровизированной сценке, посвященной коррупционным составляющим нашего общества.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</w:p>
          <w:p>
            <w:pPr>
              <w:ind w:left="0" w:right="0" w:firstLine="425"/>
              <w:jc w:val="both"/>
              <w:spacing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В Терском муниципальном районе организованы классные часы по антикоррупционной тематике в 19 образовательных организациях. Кроме того, проведены конкурсы рисунков, плакатов,видеороликов. Проведена викторина в которой приняли участие обучающиеся 4 образовательных учреждений, с охватом 20 человек.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</w:p>
          <w:p>
            <w:pPr>
              <w:ind w:left="0" w:right="0" w:firstLine="425"/>
              <w:jc w:val="both"/>
              <w:spacing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В пятой школе г. Нарткалы Урванского муниципального района прошел муниципальный форум «Молодежь против коррупции». Одной из главных задач форума стало привлечение внимания к проблеме коррупции и предоставление молодежи возможности выразить свое отношение к ней. Участников форума ждала по-н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астоящему насыщенная и интересная программа. Школьники приняли участие в тренинге, направленном на формирование антикоррупционного сознания, который провели тренера Ресурсного центра развития волонтерства «Сириус». Разделившись на команды, они приняли акти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вное участие в дебатах, во время которых каждый имел возможность не только высказать свою точку зрения, но и привести аргументы в её защиту.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shd w:val="clear" w:fill="EBEBEB" w:color="EBEBEB"/>
              <w:rPr>
                <w:rFonts w:ascii="Times New Roman" w:hAnsi="Times New Roman" w:cs="Times New Roman" w:eastAsia="Times New Roman"/>
                <w:color w:val="000000"/>
                <w:sz w:val="22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В декабре 2021 г. проведено тестирование государственных гражданских служащих Минпросвещения КБР на знание основ законодательства РФ о про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тиводействии коррупции. Государственным гражданским служащим было предложено ответить на 34 вопроса, которые касались порядка представления сведений о доходах, расходах, об имуществе и обязательствах имущественного характера, урегулирования конфликта интер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есов на госслужбе, антикоррупционных запретов, требований и ограничений, ответственности за совершение коррупционных правонарушений, и другие. Тестирование прошли 49 государственных гражданских служащих Минпросвещения КБР, которые показали высокий уровень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знания законодательства о противодействии коррупции и государственной гражданской службе. Кроме того, государственным гражданским служащим Минпросвещения КБР было предложено ознакомиться с антикоррупционными роликами ФАС России и Минэкономразвития России.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</w:r>
            <w:r>
              <w:rPr>
                <w:sz w:val="22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17</w:t>
            </w:r>
            <w:r>
              <w:rPr>
                <w:sz w:val="22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2.28.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Мониторинг принимаемых мер по профилактике коррупции в подведомственных  государственных учреждениях, разработка комплекса мер по совершенствованию деятельности по профилактике коррупции 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283" w:right="208" w:firstLine="0"/>
              <w:jc w:val="both"/>
              <w:rPr>
                <w:rFonts w:ascii="Times New Roman" w:hAnsi="Times New Roman" w:cs="Times New Roman" w:eastAsia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В соответствии с Методическими рекомендациями по разработке и принятию организациями мер по предупреждению и противодействию коррупции, разработанными Министерством труда и социальной защиты Российской Федерации, в подведомственных Минпросвещения КБР го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сударственных учреждениях приняты следующие меры по предупреждению коррупции: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определены должностные лица, ответственные за профилактику коррупционных и иных правонарушений; разработаны и приняты локальные нормативные акты, регулирующие вопросы противодействия коррупции; размещена необходимая информация на официальном сайте и информ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ационном стенде учреждения. 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/>
          </w:p>
          <w:p>
            <w:pPr>
              <w:ind w:left="283" w:right="208" w:firstLine="0"/>
              <w:jc w:val="both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В настоящее время осуществляется сбор и анализ принятых в подведомственных образовательных учреждениях локальных актов, регламентирующих меры по профилактике коррупции.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18</w:t>
            </w:r>
            <w:r>
              <w:rPr>
                <w:sz w:val="22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2.30.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Направление в уполномоченный орган государственной власти КБР по профилактике коррупционных и иных правонарушений информации, касающейся событий, признак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ов и фактов коррупционных проявлений, о проверках и процессуальных действиях, проводимых правоохранительными органами, а также об актах реагирования органов прокуратуры и предварительного следствия на нарушения законодательства о противодействии коррупции 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contextualSpacing w:val="false"/>
              <w:ind w:left="283" w:right="0" w:firstLine="0"/>
              <w:jc w:val="left"/>
              <w:rPr>
                <w:rFonts w:ascii="Times New Roman" w:hAnsi="Times New Roman" w:cs="Times New Roman" w:eastAsia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Во исполнение распоряжения Главы КБР от 29.08.2019 г. № 96-РГ в уполномоченный орган госвласти КБР 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по профилактике коррупционных и иных правонарушений направлена соответствующая информация. 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sz w:val="22"/>
              </w:rPr>
            </w:r>
          </w:p>
          <w:p>
            <w:pPr>
              <w:contextualSpacing w:val="false"/>
              <w:ind w:right="0"/>
              <w:jc w:val="left"/>
              <w:rPr>
                <w:sz w:val="22"/>
              </w:rPr>
              <w:suppressLineNumbers w:val="0"/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19</w:t>
            </w:r>
            <w:r>
              <w:rPr>
                <w:sz w:val="22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2.31.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Реализация комплекса мер по порядку отбора и изучению кандидатов на отдельные должности государственной гражданской службы КБР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В декабре 2021 г. на должность заместителя министра просвещения, науки и по делам молодежи КБР назначен один государственный гражданский служащий, в отношении которого в соответствии со 108-РГ (дсп) от 28.10.2020 г. проведены проверочные мероприятия.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2.32.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/>
          </w:p>
        </w:tc>
        <w:tc>
          <w:tcPr>
            <w:tcW w:w="3477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Организация наполнения разделов "Противодействие коррупции" официальных сайтов исполнительных органов государственной власти Кабардино-Балкарской Республики и органов местного самоуправления в информационно-телекоммуникационной сети "Интернет"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/>
          </w:p>
        </w:tc>
        <w:tc>
          <w:tcPr>
            <w:tcW w:w="1073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За 2021 г.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в разделе «Антикоррупционная деятельность» размещено 9 информационно-аналитических докладов (отчётов) на антикоррупционную тематику.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</w:tbl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contextualSpacing w:val="false"/>
        <w:jc w:val="center"/>
        <w:spacing w:lineRule="auto" w:line="276" w:after="0" w:before="0"/>
        <w:rPr>
          <w:rFonts w:ascii="Times New Roman" w:hAnsi="Times New Roman" w:cs="Times New Roman" w:eastAsia="Times New Roman"/>
          <w:sz w:val="28"/>
        </w:rPr>
        <w:suppressLineNumbers w:val="0"/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sectPr>
      <w:footnotePr/>
      <w:endnotePr/>
      <w:type w:val="nextPage"/>
      <w:pgSz w:w="16838" w:h="11906" w:orient="landscape"/>
      <w:pgMar w:top="567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ans">
    <w:panose1 w:val="020B0503020204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–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bullet"/>
      <w:isLgl w:val="false"/>
      <w:suff w:val="tab"/>
      <w:lvlText w:val="–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bullet"/>
      <w:isLgl w:val="false"/>
      <w:suff w:val="tab"/>
      <w:lvlText w:val="–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bullet"/>
      <w:isLgl w:val="false"/>
      <w:suff w:val="tab"/>
      <w:lvlText w:val="–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bullet"/>
      <w:isLgl w:val="false"/>
      <w:suff w:val="tab"/>
      <w:lvlText w:val="–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bullet"/>
      <w:isLgl w:val="false"/>
      <w:suff w:val="tab"/>
      <w:lvlText w:val="–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bullet"/>
      <w:isLgl w:val="false"/>
      <w:suff w:val="tab"/>
      <w:lvlText w:val="–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bullet"/>
      <w:isLgl w:val="false"/>
      <w:suff w:val="tab"/>
      <w:lvlText w:val="–"/>
      <w:lvlJc w:val="left"/>
      <w:pPr>
        <w:ind w:left="3600" w:hanging="360"/>
        <w:tabs>
          <w:tab w:val="num" w:pos="360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link w:val="608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link w:val="609"/>
    <w:uiPriority w:val="9"/>
    <w:rPr>
      <w:rFonts w:ascii="Arial" w:hAnsi="Arial" w:cs="Arial" w:eastAsia="Arial"/>
      <w:sz w:val="34"/>
    </w:rPr>
  </w:style>
  <w:style w:type="character" w:styleId="449">
    <w:name w:val="Heading 3 Char"/>
    <w:link w:val="610"/>
    <w:uiPriority w:val="9"/>
    <w:rPr>
      <w:rFonts w:ascii="Arial" w:hAnsi="Arial" w:cs="Arial" w:eastAsia="Arial"/>
      <w:sz w:val="30"/>
      <w:szCs w:val="30"/>
    </w:rPr>
  </w:style>
  <w:style w:type="character" w:styleId="450">
    <w:name w:val="Heading 4 Char"/>
    <w:link w:val="611"/>
    <w:uiPriority w:val="9"/>
    <w:rPr>
      <w:rFonts w:ascii="Arial" w:hAnsi="Arial" w:cs="Arial" w:eastAsia="Arial"/>
      <w:b/>
      <w:bCs/>
      <w:sz w:val="26"/>
      <w:szCs w:val="26"/>
    </w:rPr>
  </w:style>
  <w:style w:type="character" w:styleId="451">
    <w:name w:val="Heading 5 Char"/>
    <w:link w:val="612"/>
    <w:uiPriority w:val="9"/>
    <w:rPr>
      <w:rFonts w:ascii="Arial" w:hAnsi="Arial" w:cs="Arial" w:eastAsia="Arial"/>
      <w:b/>
      <w:bCs/>
      <w:sz w:val="24"/>
      <w:szCs w:val="24"/>
    </w:rPr>
  </w:style>
  <w:style w:type="character" w:styleId="452">
    <w:name w:val="Heading 6 Char"/>
    <w:link w:val="613"/>
    <w:uiPriority w:val="9"/>
    <w:rPr>
      <w:rFonts w:ascii="Arial" w:hAnsi="Arial" w:cs="Arial" w:eastAsia="Arial"/>
      <w:b/>
      <w:bCs/>
      <w:sz w:val="22"/>
      <w:szCs w:val="22"/>
    </w:rPr>
  </w:style>
  <w:style w:type="character" w:styleId="453">
    <w:name w:val="Heading 7 Char"/>
    <w:link w:val="61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54">
    <w:name w:val="Heading 8 Char"/>
    <w:link w:val="615"/>
    <w:uiPriority w:val="9"/>
    <w:rPr>
      <w:rFonts w:ascii="Arial" w:hAnsi="Arial" w:cs="Arial" w:eastAsia="Arial"/>
      <w:i/>
      <w:iCs/>
      <w:sz w:val="22"/>
      <w:szCs w:val="22"/>
    </w:rPr>
  </w:style>
  <w:style w:type="character" w:styleId="455">
    <w:name w:val="Heading 9 Char"/>
    <w:link w:val="616"/>
    <w:uiPriority w:val="9"/>
    <w:rPr>
      <w:rFonts w:ascii="Arial" w:hAnsi="Arial" w:cs="Arial" w:eastAsia="Arial"/>
      <w:i/>
      <w:iCs/>
      <w:sz w:val="21"/>
      <w:szCs w:val="21"/>
    </w:rPr>
  </w:style>
  <w:style w:type="character" w:styleId="456">
    <w:name w:val="Title Char"/>
    <w:link w:val="625"/>
    <w:uiPriority w:val="10"/>
    <w:rPr>
      <w:sz w:val="48"/>
      <w:szCs w:val="48"/>
    </w:rPr>
  </w:style>
  <w:style w:type="character" w:styleId="457">
    <w:name w:val="Subtitle Char"/>
    <w:link w:val="623"/>
    <w:uiPriority w:val="11"/>
    <w:rPr>
      <w:sz w:val="24"/>
      <w:szCs w:val="24"/>
    </w:rPr>
  </w:style>
  <w:style w:type="character" w:styleId="458">
    <w:name w:val="Quote Char"/>
    <w:link w:val="622"/>
    <w:uiPriority w:val="29"/>
    <w:rPr>
      <w:i/>
    </w:rPr>
  </w:style>
  <w:style w:type="character" w:styleId="459">
    <w:name w:val="Intense Quote Char"/>
    <w:link w:val="624"/>
    <w:uiPriority w:val="30"/>
    <w:rPr>
      <w:i/>
    </w:rPr>
  </w:style>
  <w:style w:type="character" w:styleId="460">
    <w:name w:val="Header Char"/>
    <w:link w:val="620"/>
    <w:uiPriority w:val="99"/>
  </w:style>
  <w:style w:type="character" w:styleId="461">
    <w:name w:val="Footer Char"/>
    <w:link w:val="619"/>
    <w:uiPriority w:val="99"/>
  </w:style>
  <w:style w:type="paragraph" w:styleId="462">
    <w:name w:val="Caption"/>
    <w:basedOn w:val="607"/>
    <w:next w:val="60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63">
    <w:name w:val="Caption Char"/>
    <w:basedOn w:val="462"/>
    <w:link w:val="619"/>
    <w:uiPriority w:val="99"/>
  </w:style>
  <w:style w:type="table" w:styleId="464">
    <w:name w:val="Table Grid"/>
    <w:basedOn w:val="617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65">
    <w:name w:val="Table Grid Light"/>
    <w:basedOn w:val="61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66">
    <w:name w:val="Plain Table 1"/>
    <w:basedOn w:val="61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67">
    <w:name w:val="Plain Table 2"/>
    <w:basedOn w:val="61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68">
    <w:name w:val="Plain Table 3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69">
    <w:name w:val="Plain Table 4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0">
    <w:name w:val="Plain Table 5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71">
    <w:name w:val="Grid Table 1 Light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2">
    <w:name w:val="Grid Table 1 Light - Accent 1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3">
    <w:name w:val="Grid Table 1 Light - Accent 2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4">
    <w:name w:val="Grid Table 1 Light - Accent 3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5">
    <w:name w:val="Grid Table 1 Light - Accent 4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6">
    <w:name w:val="Grid Table 1 Light - Accent 5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7">
    <w:name w:val="Grid Table 1 Light - Accent 6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8">
    <w:name w:val="Grid Table 2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Grid Table 2 - Accent 1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Grid Table 2 - Accent 2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Grid Table 2 - Accent 3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82">
    <w:name w:val="Grid Table 2 - Accent 4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83">
    <w:name w:val="Grid Table 2 - Accent 5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4">
    <w:name w:val="Grid Table 2 - Accent 6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5">
    <w:name w:val="Grid Table 3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6">
    <w:name w:val="Grid Table 3 - Accent 1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7">
    <w:name w:val="Grid Table 3 - Accent 2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8">
    <w:name w:val="Grid Table 3 - Accent 3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9">
    <w:name w:val="Grid Table 3 - Accent 4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0">
    <w:name w:val="Grid Table 3 - Accent 5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1">
    <w:name w:val="Grid Table 3 - Accent 6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2">
    <w:name w:val="Grid Table 4"/>
    <w:basedOn w:val="61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93">
    <w:name w:val="Grid Table 4 - Accent 1"/>
    <w:basedOn w:val="61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94">
    <w:name w:val="Grid Table 4 - Accent 2"/>
    <w:basedOn w:val="61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95">
    <w:name w:val="Grid Table 4 - Accent 3"/>
    <w:basedOn w:val="61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96">
    <w:name w:val="Grid Table 4 - Accent 4"/>
    <w:basedOn w:val="61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97">
    <w:name w:val="Grid Table 4 - Accent 5"/>
    <w:basedOn w:val="61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98">
    <w:name w:val="Grid Table 4 - Accent 6"/>
    <w:basedOn w:val="61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99">
    <w:name w:val="Grid Table 5 Dark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00">
    <w:name w:val="Grid Table 5 Dark- Accent 1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01">
    <w:name w:val="Grid Table 5 Dark - Accent 2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02">
    <w:name w:val="Grid Table 5 Dark - Accent 3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03">
    <w:name w:val="Grid Table 5 Dark- Accent 4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04">
    <w:name w:val="Grid Table 5 Dark - Accent 5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05">
    <w:name w:val="Grid Table 5 Dark - Accent 6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06">
    <w:name w:val="Grid Table 6 Colorful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07">
    <w:name w:val="Grid Table 6 Colorful - Accent 1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08">
    <w:name w:val="Grid Table 6 Colorful - Accent 2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09">
    <w:name w:val="Grid Table 6 Colorful - Accent 3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10">
    <w:name w:val="Grid Table 6 Colorful - Accent 4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11">
    <w:name w:val="Grid Table 6 Colorful - Accent 5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12">
    <w:name w:val="Grid Table 6 Colorful - Accent 6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13">
    <w:name w:val="Grid Table 7 Colorful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14">
    <w:name w:val="Grid Table 7 Colorful - Accent 1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15">
    <w:name w:val="Grid Table 7 Colorful - Accent 2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16">
    <w:name w:val="Grid Table 7 Colorful - Accent 3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17">
    <w:name w:val="Grid Table 7 Colorful - Accent 4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18">
    <w:name w:val="Grid Table 7 Colorful - Accent 5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19">
    <w:name w:val="Grid Table 7 Colorful - Accent 6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20">
    <w:name w:val="List Table 1 Light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21">
    <w:name w:val="List Table 1 Light - Accent 1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22">
    <w:name w:val="List Table 1 Light - Accent 2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23">
    <w:name w:val="List Table 1 Light - Accent 3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24">
    <w:name w:val="List Table 1 Light - Accent 4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25">
    <w:name w:val="List Table 1 Light - Accent 5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26">
    <w:name w:val="List Table 1 Light - Accent 6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27">
    <w:name w:val="List Table 2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28">
    <w:name w:val="List Table 2 - Accent 1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29">
    <w:name w:val="List Table 2 - Accent 2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30">
    <w:name w:val="List Table 2 - Accent 3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31">
    <w:name w:val="List Table 2 - Accent 4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32">
    <w:name w:val="List Table 2 - Accent 5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33">
    <w:name w:val="List Table 2 - Accent 6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34">
    <w:name w:val="List Table 3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5">
    <w:name w:val="List Table 3 - Accent 1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6">
    <w:name w:val="List Table 3 - Accent 2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7">
    <w:name w:val="List Table 3 - Accent 3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8">
    <w:name w:val="List Table 3 - Accent 4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9">
    <w:name w:val="List Table 3 - Accent 5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0">
    <w:name w:val="List Table 3 - Accent 6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1">
    <w:name w:val="List Table 4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2">
    <w:name w:val="List Table 4 - Accent 1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3">
    <w:name w:val="List Table 4 - Accent 2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4">
    <w:name w:val="List Table 4 - Accent 3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5">
    <w:name w:val="List Table 4 - Accent 4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6">
    <w:name w:val="List Table 4 - Accent 5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7">
    <w:name w:val="List Table 4 - Accent 6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8">
    <w:name w:val="List Table 5 Dark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49">
    <w:name w:val="List Table 5 Dark - Accent 1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50">
    <w:name w:val="List Table 5 Dark - Accent 2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51">
    <w:name w:val="List Table 5 Dark - Accent 3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52">
    <w:name w:val="List Table 5 Dark - Accent 4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53">
    <w:name w:val="List Table 5 Dark - Accent 5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54">
    <w:name w:val="List Table 5 Dark - Accent 6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55">
    <w:name w:val="List Table 6 Colorful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56">
    <w:name w:val="List Table 6 Colorful - Accent 1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57">
    <w:name w:val="List Table 6 Colorful - Accent 2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58">
    <w:name w:val="List Table 6 Colorful - Accent 3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59">
    <w:name w:val="List Table 6 Colorful - Accent 4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60">
    <w:name w:val="List Table 6 Colorful - Accent 5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61">
    <w:name w:val="List Table 6 Colorful - Accent 6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62">
    <w:name w:val="List Table 7 Colorful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63">
    <w:name w:val="List Table 7 Colorful - Accent 1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64">
    <w:name w:val="List Table 7 Colorful - Accent 2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65">
    <w:name w:val="List Table 7 Colorful - Accent 3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66">
    <w:name w:val="List Table 7 Colorful - Accent 4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67">
    <w:name w:val="List Table 7 Colorful - Accent 5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68">
    <w:name w:val="List Table 7 Colorful - Accent 6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69">
    <w:name w:val="Lined - Accent"/>
    <w:basedOn w:val="6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70">
    <w:name w:val="Lined - Accent 1"/>
    <w:basedOn w:val="6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71">
    <w:name w:val="Lined - Accent 2"/>
    <w:basedOn w:val="6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72">
    <w:name w:val="Lined - Accent 3"/>
    <w:basedOn w:val="6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73">
    <w:name w:val="Lined - Accent 4"/>
    <w:basedOn w:val="6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74">
    <w:name w:val="Lined - Accent 5"/>
    <w:basedOn w:val="6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75">
    <w:name w:val="Lined - Accent 6"/>
    <w:basedOn w:val="6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76">
    <w:name w:val="Bordered &amp; Lined - Accent"/>
    <w:basedOn w:val="6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77">
    <w:name w:val="Bordered &amp; Lined - Accent 1"/>
    <w:basedOn w:val="6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78">
    <w:name w:val="Bordered &amp; Lined - Accent 2"/>
    <w:basedOn w:val="6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79">
    <w:name w:val="Bordered &amp; Lined - Accent 3"/>
    <w:basedOn w:val="6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0">
    <w:name w:val="Bordered &amp; Lined - Accent 4"/>
    <w:basedOn w:val="6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1">
    <w:name w:val="Bordered &amp; Lined - Accent 5"/>
    <w:basedOn w:val="6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2">
    <w:name w:val="Bordered &amp; Lined - Accent 6"/>
    <w:basedOn w:val="6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83">
    <w:name w:val="Bordered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84">
    <w:name w:val="Bordered - Accent 1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85">
    <w:name w:val="Bordered - Accent 2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86">
    <w:name w:val="Bordered - Accent 3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87">
    <w:name w:val="Bordered - Accent 4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88">
    <w:name w:val="Bordered - Accent 5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89">
    <w:name w:val="Bordered - Accent 6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90">
    <w:name w:val="Hyperlink"/>
    <w:uiPriority w:val="99"/>
    <w:unhideWhenUsed/>
    <w:rPr>
      <w:color w:val="0000FF" w:themeColor="hyperlink"/>
      <w:u w:val="single"/>
    </w:rPr>
  </w:style>
  <w:style w:type="paragraph" w:styleId="591">
    <w:name w:val="footnote text"/>
    <w:basedOn w:val="607"/>
    <w:link w:val="592"/>
    <w:uiPriority w:val="99"/>
    <w:semiHidden/>
    <w:unhideWhenUsed/>
    <w:rPr>
      <w:sz w:val="18"/>
    </w:rPr>
    <w:pPr>
      <w:spacing w:lineRule="auto" w:line="240" w:after="40"/>
    </w:pPr>
  </w:style>
  <w:style w:type="character" w:styleId="592">
    <w:name w:val="Footnote Text Char"/>
    <w:link w:val="591"/>
    <w:uiPriority w:val="99"/>
    <w:rPr>
      <w:sz w:val="18"/>
    </w:rPr>
  </w:style>
  <w:style w:type="character" w:styleId="593">
    <w:name w:val="footnote reference"/>
    <w:uiPriority w:val="99"/>
    <w:unhideWhenUsed/>
    <w:rPr>
      <w:vertAlign w:val="superscript"/>
    </w:rPr>
  </w:style>
  <w:style w:type="paragraph" w:styleId="594">
    <w:name w:val="endnote text"/>
    <w:basedOn w:val="607"/>
    <w:link w:val="595"/>
    <w:uiPriority w:val="99"/>
    <w:semiHidden/>
    <w:unhideWhenUsed/>
    <w:rPr>
      <w:sz w:val="20"/>
    </w:rPr>
    <w:pPr>
      <w:spacing w:lineRule="auto" w:line="240" w:after="0"/>
    </w:pPr>
  </w:style>
  <w:style w:type="character" w:styleId="595">
    <w:name w:val="Endnote Text Char"/>
    <w:link w:val="594"/>
    <w:uiPriority w:val="99"/>
    <w:rPr>
      <w:sz w:val="20"/>
    </w:rPr>
  </w:style>
  <w:style w:type="character" w:styleId="596">
    <w:name w:val="endnote reference"/>
    <w:uiPriority w:val="99"/>
    <w:semiHidden/>
    <w:unhideWhenUsed/>
    <w:rPr>
      <w:vertAlign w:val="superscript"/>
    </w:rPr>
  </w:style>
  <w:style w:type="paragraph" w:styleId="597">
    <w:name w:val="toc 1"/>
    <w:basedOn w:val="607"/>
    <w:next w:val="607"/>
    <w:uiPriority w:val="39"/>
    <w:unhideWhenUsed/>
    <w:pPr>
      <w:ind w:left="0" w:right="0" w:firstLine="0"/>
      <w:spacing w:after="57"/>
    </w:pPr>
  </w:style>
  <w:style w:type="paragraph" w:styleId="598">
    <w:name w:val="toc 2"/>
    <w:basedOn w:val="607"/>
    <w:next w:val="607"/>
    <w:uiPriority w:val="39"/>
    <w:unhideWhenUsed/>
    <w:pPr>
      <w:ind w:left="283" w:right="0" w:firstLine="0"/>
      <w:spacing w:after="57"/>
    </w:pPr>
  </w:style>
  <w:style w:type="paragraph" w:styleId="599">
    <w:name w:val="toc 3"/>
    <w:basedOn w:val="607"/>
    <w:next w:val="607"/>
    <w:uiPriority w:val="39"/>
    <w:unhideWhenUsed/>
    <w:pPr>
      <w:ind w:left="567" w:right="0" w:firstLine="0"/>
      <w:spacing w:after="57"/>
    </w:pPr>
  </w:style>
  <w:style w:type="paragraph" w:styleId="600">
    <w:name w:val="toc 4"/>
    <w:basedOn w:val="607"/>
    <w:next w:val="607"/>
    <w:uiPriority w:val="39"/>
    <w:unhideWhenUsed/>
    <w:pPr>
      <w:ind w:left="850" w:right="0" w:firstLine="0"/>
      <w:spacing w:after="57"/>
    </w:pPr>
  </w:style>
  <w:style w:type="paragraph" w:styleId="601">
    <w:name w:val="toc 5"/>
    <w:basedOn w:val="607"/>
    <w:next w:val="607"/>
    <w:uiPriority w:val="39"/>
    <w:unhideWhenUsed/>
    <w:pPr>
      <w:ind w:left="1134" w:right="0" w:firstLine="0"/>
      <w:spacing w:after="57"/>
    </w:pPr>
  </w:style>
  <w:style w:type="paragraph" w:styleId="602">
    <w:name w:val="toc 6"/>
    <w:basedOn w:val="607"/>
    <w:next w:val="607"/>
    <w:uiPriority w:val="39"/>
    <w:unhideWhenUsed/>
    <w:pPr>
      <w:ind w:left="1417" w:right="0" w:firstLine="0"/>
      <w:spacing w:after="57"/>
    </w:pPr>
  </w:style>
  <w:style w:type="paragraph" w:styleId="603">
    <w:name w:val="toc 7"/>
    <w:basedOn w:val="607"/>
    <w:next w:val="607"/>
    <w:uiPriority w:val="39"/>
    <w:unhideWhenUsed/>
    <w:pPr>
      <w:ind w:left="1701" w:right="0" w:firstLine="0"/>
      <w:spacing w:after="57"/>
    </w:pPr>
  </w:style>
  <w:style w:type="paragraph" w:styleId="604">
    <w:name w:val="toc 8"/>
    <w:basedOn w:val="607"/>
    <w:next w:val="607"/>
    <w:uiPriority w:val="39"/>
    <w:unhideWhenUsed/>
    <w:pPr>
      <w:ind w:left="1984" w:right="0" w:firstLine="0"/>
      <w:spacing w:after="57"/>
    </w:pPr>
  </w:style>
  <w:style w:type="paragraph" w:styleId="605">
    <w:name w:val="toc 9"/>
    <w:basedOn w:val="607"/>
    <w:next w:val="607"/>
    <w:uiPriority w:val="39"/>
    <w:unhideWhenUsed/>
    <w:pPr>
      <w:ind w:left="2268" w:right="0" w:firstLine="0"/>
      <w:spacing w:after="57"/>
    </w:pPr>
  </w:style>
  <w:style w:type="paragraph" w:styleId="606">
    <w:name w:val="TOC Heading"/>
    <w:uiPriority w:val="39"/>
    <w:unhideWhenUsed/>
  </w:style>
  <w:style w:type="paragraph" w:styleId="607" w:default="1">
    <w:name w:val="Normal"/>
    <w:qFormat/>
  </w:style>
  <w:style w:type="paragraph" w:styleId="608">
    <w:name w:val="Heading 1"/>
    <w:basedOn w:val="607"/>
    <w:next w:val="607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609">
    <w:name w:val="Heading 2"/>
    <w:basedOn w:val="607"/>
    <w:next w:val="607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610">
    <w:name w:val="Heading 3"/>
    <w:basedOn w:val="607"/>
    <w:next w:val="607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611">
    <w:name w:val="Heading 4"/>
    <w:basedOn w:val="607"/>
    <w:next w:val="607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612">
    <w:name w:val="Heading 5"/>
    <w:basedOn w:val="607"/>
    <w:next w:val="607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613">
    <w:name w:val="Heading 6"/>
    <w:basedOn w:val="607"/>
    <w:next w:val="607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614">
    <w:name w:val="Heading 7"/>
    <w:basedOn w:val="607"/>
    <w:next w:val="607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615">
    <w:name w:val="Heading 8"/>
    <w:basedOn w:val="607"/>
    <w:next w:val="607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616">
    <w:name w:val="Heading 9"/>
    <w:basedOn w:val="607"/>
    <w:next w:val="607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6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8" w:default="1">
    <w:name w:val="No List"/>
    <w:uiPriority w:val="99"/>
    <w:semiHidden/>
    <w:unhideWhenUsed/>
  </w:style>
  <w:style w:type="paragraph" w:styleId="619">
    <w:name w:val="Footer"/>
    <w:basedOn w:val="607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20">
    <w:name w:val="Header"/>
    <w:basedOn w:val="607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21">
    <w:name w:val="No Spacing"/>
    <w:basedOn w:val="607"/>
    <w:qFormat/>
    <w:uiPriority w:val="1"/>
    <w:pPr>
      <w:spacing w:lineRule="auto" w:line="240" w:after="0"/>
    </w:pPr>
  </w:style>
  <w:style w:type="paragraph" w:styleId="622">
    <w:name w:val="Quote"/>
    <w:basedOn w:val="607"/>
    <w:next w:val="607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623">
    <w:name w:val="Subtitle"/>
    <w:basedOn w:val="607"/>
    <w:next w:val="607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624">
    <w:name w:val="Intense Quote"/>
    <w:basedOn w:val="607"/>
    <w:next w:val="607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fill="EEEEEE" w:color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625">
    <w:name w:val="Title"/>
    <w:basedOn w:val="607"/>
    <w:next w:val="607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626">
    <w:name w:val="List Paragraph"/>
    <w:basedOn w:val="607"/>
    <w:qFormat/>
    <w:uiPriority w:val="34"/>
    <w:pPr>
      <w:contextualSpacing w:val="true"/>
      <w:ind w:left="720"/>
    </w:pPr>
  </w:style>
  <w:style w:type="character" w:styleId="627" w:default="1">
    <w:name w:val="Default Paragraph Font"/>
    <w:uiPriority w:val="1"/>
    <w:semiHidden/>
    <w:unhideWhenUsed/>
  </w:style>
  <w:style w:type="paragraph" w:styleId="628" w:customStyle="1">
    <w:name w:val="ConsPlusNormal"/>
    <w:rPr>
      <w:rFonts w:ascii="Calibri" w:hAnsi="Calibri" w:cs="Calibri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0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629" w:customStyle="1">
    <w:name w:val="Standard"/>
    <w:rPr>
      <w:rFonts w:ascii="Courier New" w:hAnsi="Courier New" w:cs="Courier New" w:eastAsia="Courier New"/>
      <w:b w:val="false"/>
      <w:bCs w:val="false"/>
      <w:i w:val="false"/>
      <w:iCs w:val="false"/>
      <w:caps w:val="false"/>
      <w:smallCaps w:val="false"/>
      <w:strike w:val="false"/>
      <w:vanish w:val="false"/>
      <w:color w:val="000000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ru-RU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character" w:styleId="630">
    <w:name w:val="Emphasis"/>
    <w:qFormat/>
    <w:rPr>
      <w:i/>
      <w:iCs/>
    </w:rPr>
  </w:style>
  <w:style w:type="character" w:styleId="631" w:customStyle="1">
    <w:name w:val="Основной текст1"/>
    <w:rPr>
      <w:rFonts w:ascii="Times New Roman" w:hAnsi="Times New Roman" w:cs="Times New Roman" w:eastAsia="Times New Roman"/>
      <w:color w:val="000000"/>
      <w:spacing w:val="0"/>
      <w:position w:val="0"/>
      <w:sz w:val="24"/>
      <w:szCs w:val="24"/>
      <w:vertAlign w:val="subscript"/>
      <w:lang w:val="ru-RU" w:bidi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8</cp:revision>
  <dcterms:modified xsi:type="dcterms:W3CDTF">2021-12-27T13:23:37Z</dcterms:modified>
</cp:coreProperties>
</file>