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false"/>
        <w:jc w:val="right"/>
        <w:spacing w:lineRule="auto" w:line="276" w:after="0" w:before="0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Информация 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о ходе реализации мероприятий подпрограммы «Противодействие коррупции» государственной программы «Профилактика правонарушений и укрепление общественного порядка и общественной безопасности в 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Кабардино—Балкарской Республике»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за 3 квартал 2022 г.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в Министерстве просвещения и науки  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Кабардино-Балкарской Республики 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  <w:r/>
    </w:p>
    <w:tbl>
      <w:tblPr>
        <w:tblStyle w:val="47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477"/>
        <w:gridCol w:w="10738"/>
      </w:tblGrid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№/№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  <w:t xml:space="preserve">№ пункта 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  <w:t xml:space="preserve">Наименование мероприятия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  <w:t xml:space="preserve">Отчет о ходе реализации мероприятия </w:t>
            </w:r>
            <w:r>
              <w:rPr>
                <w:highlight w:val="white"/>
              </w:rPr>
            </w:r>
            <w:r/>
          </w:p>
        </w:tc>
      </w:tr>
      <w:tr>
        <w:trPr>
          <w:trHeight w:val="278"/>
        </w:trPr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Проведение антикоррупционной экспертизы нормативных правовых актов и проектов нормативных правовых актов Кабардино-Балкарской Республики и органов местного самоуправления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За 3 квартал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2022 г. проведена антикоррупционная экспертиза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10 нормативных правовых актов. Коррупциогенные факторы в нормативных правовых актах не выявлены. Все нормативные правовые акты  и их проекты своевременно направлены в Прокуратуру КБР 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Управление Министерства юстиции Российской Федерации по Кабардино-Балкарской Республике, получены заключения без замечаний о содержании коррупциогенных факторов.</w:t>
            </w:r>
            <w:r>
              <w:rPr>
                <w:sz w:val="22"/>
                <w:highlight w:val="white"/>
              </w:rPr>
            </w:r>
            <w:r>
              <w:rPr>
                <w:sz w:val="22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2.2.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оддержание в актуальном состоянии информации, размещенной на информационных стендах в государственных и муниципальных учреждениях (в том числе контактные данные лиц, ответственных за организацию деятельности по противодействию коррупции в исполнительных ор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ганах государственной власти Кабардино-Балкарской Республики и органах местного самоуправления, телефонов "горячих антикоррупционных линий" Администрации Главы Кабардино-Балкарской Республики, правоохранительных органов)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142" w:right="0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 информационном стенде Минпросвещения КБР размещены актуальные телефоны антикоррупционных линий, в том числе Администрации Главы КБР, правоохранительных органов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.</w:t>
            </w:r>
            <w:r>
              <w:rPr>
                <w:sz w:val="22"/>
                <w:highlight w:val="white"/>
              </w:rPr>
            </w:r>
            <w:r>
              <w:rPr>
                <w:sz w:val="22"/>
              </w:rPr>
            </w:r>
          </w:p>
          <w:p>
            <w:pPr>
              <w:contextualSpacing w:val="false"/>
              <w:ind w:left="142" w:right="0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Кроме того, систематически размещается актуальная информация о проводимой в министерстве работе по вопросам профилактики коррупции, об ответственности за совершение коррупционных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правонарушений, результаты тестирования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государственных гражданских служащих Минпрос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веще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ния КБР на знание антикоррупционного законодательства, требований к служебному поведению. </w:t>
            </w:r>
            <w:r>
              <w:rPr>
                <w:sz w:val="22"/>
                <w:highlight w:val="white"/>
              </w:rPr>
            </w:r>
            <w:r>
              <w:rPr>
                <w:sz w:val="22"/>
              </w:rPr>
            </w:r>
          </w:p>
          <w:p>
            <w:pPr>
              <w:contextualSpacing w:val="false"/>
              <w:ind w:left="142" w:right="0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 24 подведомственных образовательных организациях систематически актуализируется информация на аналогичных стендах.</w:t>
            </w:r>
            <w:r>
              <w:rPr>
                <w:sz w:val="22"/>
                <w:highlight w:val="white"/>
              </w:rPr>
            </w:r>
            <w:r>
              <w:rPr>
                <w:sz w:val="22"/>
              </w:rPr>
            </w:r>
          </w:p>
          <w:p>
            <w:pPr>
              <w:contextualSpacing w:val="false"/>
              <w:ind w:left="142" w:right="0" w:firstLine="0"/>
              <w:jc w:val="both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2.6.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Проведение тематических информационно-методических семинаров на тему противодействия коррупции для государственных гражданских служащих Кабардино-Балкарской Республики и муниципальных служащих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142" w:right="285" w:firstLine="708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 25 марта 2022 г.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сектором по вопросам противодействия коррупции Минпросвещения КБР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организован семинар на тему: «Актуальные вопросы представления сведений о доходах, расходах, имуществе и обязательствах имущественного хара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ктера в 2022 г.» за отчетный 2021 г.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с участием прокурора отдела по надзору за исполнением законодательства о противодействии коррупции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Прокуратуры Кабардино-Балкарской Республики Ульбашевой Ф.</w:t>
            </w:r>
            <w:r>
              <w:rPr>
                <w:sz w:val="22"/>
              </w:rPr>
            </w:r>
            <w:r/>
          </w:p>
          <w:p>
            <w:pPr>
              <w:contextualSpacing w:val="false"/>
              <w:ind w:left="142" w:right="285" w:firstLine="708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Рассмотрены изменения формы справки для заполнения сведений о доходах, расходах, имуществе и обязательствах имущественного характера с использованием программного обеспечения СПО «Справка БК» версии 2.5.1, даны разъяснения по вопросам соблюдения требований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 законодательства о противодействии коррупции при представлении сведений о доходах, расходах, имуществе и обязательствах имущественного характера, рассмотрены наиболее часто встречающие ошибки при заполнении формы справки, вступившие в силу изменения закон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одательства о противодействии коррупции. </w:t>
            </w:r>
            <w:r>
              <w:rPr>
                <w:sz w:val="22"/>
              </w:rPr>
            </w:r>
            <w:r/>
          </w:p>
          <w:p>
            <w:pPr>
              <w:contextualSpacing w:val="false"/>
              <w:ind w:left="142" w:right="285" w:firstLine="708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sz w:val="22"/>
                <w:szCs w:val="28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25 марта 2022 г. для государственных гражданских служащих Минпросвещения КБР проведен семинар по вопросу порядка разработки, согласования и утверждения нормативных правовых актов Минпросвещения КБР и их проектов, рассмотрены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общие и особенные положения о правовых актах и правотворчестве в Кабардино-Балкарской Республике,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методика проведения антикоррупционной экспертизы нормативных правовых актов и проектов нормативных правовых актов, утвержденная Постановлением Правительства Российской Федерации от 26 февраля 2010 г. № 96,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 в соответствии с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Федеральным законом от 17.07.2009 г. № 172-ФЗ «Об антикоррупционной экспертизе нормативных правовых актов и проектов нормативных правовых актов».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Рассмотрены правила проведения антикоррупционной и правовой экспертизы нормативных правовых актов и их проектов, сроки напр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авления нормативных правовых актов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и их проектов для проведения антикоррупционной и правовой экспертизы в прокуратуру КБР и Министерство юстиции Российской Федерации по Кабардино-Балкарской Республике, направление нормативных правовых актов на регистрацию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</w:rPr>
              <w:t xml:space="preserve">для внесения в федеральный регистр нормативных правовых актов.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ind w:left="142" w:right="285" w:firstLine="708"/>
              <w:jc w:val="both"/>
              <w:spacing w:lineRule="auto" w:line="240"/>
              <w:tabs>
                <w:tab w:val="left" w:pos="3930" w:leader="none"/>
              </w:tabs>
              <w:rPr>
                <w:rFonts w:ascii="Times New Roman" w:hAnsi="Times New Roman" w:cs="Times New Roman"/>
                <w:b w:val="false"/>
                <w:sz w:val="22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2"/>
                <w:szCs w:val="28"/>
                <w:highlight w:val="none"/>
              </w:rPr>
              <w:t xml:space="preserve">В 3 квартале 2022 г. принято 3 государственных гражданских служащих, с которыми проведен вводный </w:t>
            </w:r>
            <w:r>
              <w:rPr>
                <w:rFonts w:ascii="Times New Roman" w:hAnsi="Times New Roman" w:cs="Times New Roman"/>
                <w:b w:val="false"/>
                <w:sz w:val="22"/>
                <w:szCs w:val="28"/>
              </w:rPr>
              <w:t xml:space="preserve">тренинг по вопросам разъяснения антикоррупционного законодательства </w:t>
            </w:r>
            <w:r>
              <w:rPr>
                <w:rFonts w:ascii="Times New Roman" w:hAnsi="Times New Roman" w:cs="Times New Roman"/>
                <w:b w:val="false"/>
                <w:sz w:val="22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b w:val="false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false"/>
                <w:sz w:val="22"/>
                <w:szCs w:val="28"/>
              </w:rPr>
              <w:t xml:space="preserve">Министерстве</w:t>
            </w:r>
            <w:r>
              <w:rPr>
                <w:rFonts w:ascii="Times New Roman" w:hAnsi="Times New Roman" w:cs="Times New Roman"/>
                <w:b w:val="false"/>
                <w:sz w:val="22"/>
                <w:szCs w:val="28"/>
              </w:rPr>
              <w:t xml:space="preserve"> образования, науки и по делам молодежи КБР, на которых рассмотрены следующие вопросы:</w:t>
            </w:r>
            <w:r>
              <w:rPr>
                <w:sz w:val="22"/>
              </w:rPr>
            </w:r>
          </w:p>
          <w:p>
            <w:pPr>
              <w:ind w:left="142" w:right="285" w:firstLine="708"/>
              <w:jc w:val="both"/>
              <w:spacing w:lineRule="auto" w:line="240"/>
              <w:tabs>
                <w:tab w:val="left" w:pos="3930" w:leader="none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Основные обязанности государственных гражданских служащих.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ind w:left="142" w:right="285" w:firstLine="708"/>
              <w:jc w:val="both"/>
              <w:spacing w:lineRule="auto" w:line="240"/>
              <w:tabs>
                <w:tab w:val="left" w:pos="3930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Ограничения, связанные с гражданской службой.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ind w:left="142" w:right="285" w:firstLine="708"/>
              <w:jc w:val="both"/>
              <w:spacing w:lineRule="auto" w:line="240"/>
              <w:tabs>
                <w:tab w:val="left" w:pos="3930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Запреты, связанные с гражданской службой.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ind w:left="142" w:right="285" w:firstLine="708"/>
              <w:jc w:val="both"/>
              <w:spacing w:lineRule="auto" w:line="240"/>
              <w:tabs>
                <w:tab w:val="left" w:pos="3930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Требования к служебному поведению.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ind w:left="142" w:right="285" w:firstLine="708"/>
              <w:jc w:val="both"/>
              <w:spacing w:lineRule="auto" w:line="240"/>
              <w:tabs>
                <w:tab w:val="left" w:pos="3930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Урегулирование конфликта интересов на гражданской службе.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2.7.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еализация системных мер, направленных на выявление и снижение рисков коррупционных проявлений в сферах жилищно-коммунального хозяйства, бюджетных отношений, недропользования, обращения с отходами, инвестиций, земельно-имущественных отношений, налогообложен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ия, развития малого и среднего бизнеса, дорожного строительства и дорожного хозяйства, транспортного обеспечения, энергетики, здравоохранения, образования, государственных и муниципальных закупок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pStyle w:val="650"/>
              <w:contextualSpacing w:val="false"/>
              <w:ind w:left="142" w:right="317" w:firstLine="0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</w:rPr>
              <w:t xml:space="preserve">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</w:rPr>
              <w:t xml:space="preserve">Министерство осуществляет размещение плана закупок и плана графика ведомства в единой информационной системе, осуществляет закупки конкурентным способом.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</w:rPr>
            </w:r>
            <w:r/>
          </w:p>
          <w:p>
            <w:pPr>
              <w:pStyle w:val="650"/>
              <w:contextualSpacing w:val="false"/>
              <w:ind w:left="142" w:right="317" w:firstLine="0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lang w:eastAsia="ru-RU"/>
              </w:rPr>
              <w:t xml:space="preserve">Министерство проводит анализ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 в со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lang w:eastAsia="ru-RU"/>
              </w:rPr>
              <w:t xml:space="preserve">ответствии с  Приказом Министерства экономического развития Российской Федерации от 02.10.2013 № 567 «Об утверждении методических рекомендаций по определению начальной (максимальной) цены контракта, цены контракта, заключаемого с единственным поставщиком».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contextualSpacing w:val="false"/>
              <w:ind w:left="142" w:right="317" w:firstLine="0"/>
              <w:jc w:val="both"/>
              <w:spacing w:lineRule="auto" w:line="240" w:after="0" w:before="0"/>
              <w:rPr>
                <w:rFonts w:ascii="Times New Roman" w:hAnsi="Times New Roman" w:cs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Приказом Министерства от 21 февраля 2019 г. № 204 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«Об организации системы внутреннего обеспечения соответствия требованиям антимонопольного законодательства в Ми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нистерстве просвещения, науки и по делам молодежи Кабардино-Балкарской Республики» утверждены Положение об организации системы внутреннего обеспечения соответствия требованиям антимонопольного законодательства Российской Федерации и состав рабочей группы. </w:t>
            </w:r>
            <w:r>
              <w:rPr>
                <w:sz w:val="22"/>
              </w:rPr>
            </w:r>
            <w:r/>
          </w:p>
          <w:p>
            <w:pPr>
              <w:contextualSpacing w:val="false"/>
              <w:ind w:left="142" w:right="317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Проведен анализ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рисков коррупционных проявлений в сфере государственных закупок в Минпросвещения КБР выявлены следующие: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</w:p>
          <w:p>
            <w:pPr>
              <w:pStyle w:val="634"/>
              <w:numPr>
                <w:ilvl w:val="0"/>
                <w:numId w:val="7"/>
              </w:numPr>
              <w:contextualSpacing w:val="false"/>
              <w:ind w:left="142" w:right="317" w:firstLine="0"/>
              <w:jc w:val="both"/>
              <w:spacing w:lineRule="auto" w:line="240" w:after="0" w:before="0"/>
              <w:rPr>
                <w:rFonts w:ascii="Times New Roman" w:hAnsi="Times New Roman" w:cs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осуществление закупок товаров, работ, услуг и заключении государственных контрактов и  иных гражданско-правовых договоров на поставки товаров, выполнение работ, оказания услуг;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highlight w:val="none"/>
              </w:rPr>
            </w:r>
          </w:p>
          <w:p>
            <w:pPr>
              <w:pStyle w:val="634"/>
              <w:numPr>
                <w:ilvl w:val="0"/>
                <w:numId w:val="7"/>
              </w:numPr>
              <w:contextualSpacing w:val="false"/>
              <w:ind w:left="142" w:right="317" w:firstLine="0"/>
              <w:jc w:val="both"/>
              <w:spacing w:lineRule="auto" w:line="240" w:after="0" w:before="0"/>
              <w:rPr>
                <w:rFonts w:ascii="Times New Roman" w:hAnsi="Times New Roman" w:cs="Times New Roman"/>
                <w:color w:val="auto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highlight w:val="none"/>
              </w:rPr>
              <w:t xml:space="preserve">приемка результатов выполненных работ (поставленных товаров, оказанных услуг);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highlight w:val="none"/>
              </w:rPr>
            </w:r>
          </w:p>
          <w:p>
            <w:pPr>
              <w:pStyle w:val="634"/>
              <w:numPr>
                <w:ilvl w:val="0"/>
                <w:numId w:val="7"/>
              </w:numPr>
              <w:contextualSpacing w:val="false"/>
              <w:ind w:left="142" w:right="317" w:firstLine="0"/>
              <w:jc w:val="both"/>
              <w:spacing w:lineRule="auto" w:line="240" w:after="0" w:before="0"/>
              <w:rPr>
                <w:rFonts w:ascii="Times New Roman" w:hAnsi="Times New Roman" w:cs="Times New Roman"/>
                <w:color w:val="auto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highlight w:val="none"/>
              </w:rPr>
              <w:t xml:space="preserve">ведение претензионной работы;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highlight w:val="none"/>
              </w:rPr>
            </w:r>
          </w:p>
          <w:p>
            <w:pPr>
              <w:contextualSpacing w:val="true"/>
              <w:ind w:left="142" w:right="317" w:firstLine="0"/>
              <w:jc w:val="both"/>
              <w:spacing w:lineRule="auto" w:line="240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 соответствии с пунктом 2.5.4.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Положения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порядке подготовки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согласования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заключения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регистрации и учета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организации исполнения обяза</w:t>
            </w:r>
            <w:bookmarkStart w:id="0" w:name="_GoBack"/>
            <w:r>
              <w:rPr>
                <w:sz w:val="22"/>
              </w:rPr>
            </w:r>
            <w:bookmarkEnd w:id="0"/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тельств и контроля за исполнением договоров, соглашений и государственных контрактов в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инистерств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просвещения, науки и по делам молодежи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Кабардино-Б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алкарской Республики, утвержденного приказом Минпросвещения КБР от 10.05.2018 г.          № 390 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с целью снижения риска коррупционных проявлений при осуществлении закупок товаров, работ, услуг и заключении государственных контрактов и  иных гражданско-правовых договоров на поставки товаров, выполнение работ, оказания услуг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конкурсная документация и договоры проходят процедуру согласования и визирования с заведующим сектором по вопросам противодействия коррупции Министерства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по вопросам, связанным с применением законодательства Российской Федерации о противодействии коррупции, наличию в договоре антикоррупционной оговорки, отсутствию в договоре и контракте коррупционных факторов.</w:t>
            </w:r>
            <w:r/>
          </w:p>
          <w:p>
            <w:pPr>
              <w:contextualSpacing w:val="false"/>
              <w:ind w:left="142" w:right="317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В документации о закупке в обязательном порядке устанавливаются единые требования к участникам закупки в соответствии с частью 1 статьи 31 Федерального закона «О контрактной системе в сфере закупок товаров, работ, услуг для обеспечения государственных и му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ниципальных нужд» (далее - Закон), в том числе по пункту 9 части 1 статьи 31 Закона - отсутствие между участником закупки и заказчиком конфликта интересов. 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contextualSpacing w:val="false"/>
              <w:ind w:left="142" w:right="317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1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Приказом Минпросвещения КБР от 18.06.2021 г. № 22/592 «</w:t>
            </w:r>
            <w:r>
              <w:rPr>
                <w:rFonts w:ascii="Times New Roman" w:hAnsi="Times New Roman" w:cs="Times New Roman" w:eastAsia="Times New Roman"/>
                <w:color w:val="000000"/>
                <w:sz w:val="21"/>
              </w:rPr>
              <w:t xml:space="preserve">Об утверждении Положения о комиссии по приемке поставленных товаров, выполненных работ (их результатов), оказанных услуг, а также отдельных этапов поставки товара, выполнения работы, оказания услуги, предусмотренных заключенными Министерством просвещения, </w:t>
            </w:r>
            <w:r>
              <w:rPr>
                <w:rFonts w:ascii="Times New Roman" w:hAnsi="Times New Roman" w:cs="Times New Roman" w:eastAsia="Times New Roman"/>
                <w:color w:val="000000"/>
                <w:sz w:val="21"/>
              </w:rPr>
              <w:t xml:space="preserve">науки и по делам молодежи Кабардино-Балкарской Республики государственными контрактами» </w:t>
            </w:r>
            <w:r>
              <w:rPr>
                <w:rFonts w:ascii="Times New Roman" w:hAnsi="Times New Roman" w:cs="Times New Roman" w:eastAsia="Times New Roman"/>
                <w:color w:val="000000"/>
                <w:sz w:val="21"/>
                <w:highlight w:val="none"/>
              </w:rPr>
              <w:t xml:space="preserve">утверждено </w:t>
            </w:r>
            <w:r>
              <w:rPr>
                <w:rFonts w:ascii="Times New Roman" w:hAnsi="Times New Roman" w:cs="Times New Roman" w:eastAsia="Times New Roman"/>
                <w:color w:val="000000"/>
                <w:sz w:val="21"/>
              </w:rPr>
              <w:t xml:space="preserve">Положение о комиссии по приемке поставленных товаров, выполненных работ (их результатов), оказанных услуг, а также отдельных этапов поставки товара, выполнения работы, оказания услуги, предусмотренных заключенными Министерством просвещения, </w:t>
            </w:r>
            <w:r>
              <w:rPr>
                <w:rFonts w:ascii="Times New Roman" w:hAnsi="Times New Roman" w:cs="Times New Roman" w:eastAsia="Times New Roman"/>
                <w:color w:val="000000"/>
                <w:sz w:val="21"/>
              </w:rPr>
              <w:t xml:space="preserve">науки и по делам молодежи Кабардино-Балкарской Республики государственными контрактами</w:t>
            </w:r>
            <w:r>
              <w:rPr>
                <w:rFonts w:ascii="Times New Roman" w:hAnsi="Times New Roman" w:cs="Times New Roman" w:eastAsia="Times New Roman"/>
                <w:color w:val="000000"/>
                <w:sz w:val="21"/>
                <w:highlight w:val="non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z w:val="21"/>
                <w:highlight w:val="none"/>
              </w:rPr>
              <w:t xml:space="preserve">основной целью которой является предотвращение злоупотреблений полномочиями при приемке </w:t>
            </w:r>
            <w:r>
              <w:rPr>
                <w:rFonts w:ascii="Times New Roman" w:hAnsi="Times New Roman" w:cs="Times New Roman" w:eastAsia="Times New Roman"/>
                <w:color w:val="000000"/>
                <w:sz w:val="21"/>
              </w:rPr>
              <w:t xml:space="preserve">поставленных товаров, выполненных работ (их результатов), оказанных услуг, а также отдельных этапов поставки товара, выполнения работы, оказания услуги</w:t>
            </w:r>
            <w:r>
              <w:rPr>
                <w:rFonts w:ascii="Times New Roman" w:hAnsi="Times New Roman" w:cs="Times New Roman" w:eastAsia="Times New Roman"/>
                <w:color w:val="000000"/>
                <w:sz w:val="21"/>
                <w:highlight w:val="non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</w:rPr>
            </w:r>
          </w:p>
          <w:p>
            <w:pPr>
              <w:contextualSpacing w:val="false"/>
              <w:ind w:left="142" w:right="317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В 3 квартале 2022 г. министерством заключено 38 контрактов и договоров. Проведен анализ на предмет аффилированности и отсутствия конфликта интересов между участниками закупок. Аффилированности и конфликта интересов между участниками закупок не выявлено.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</w:p>
          <w:p>
            <w:pPr>
              <w:contextualSpacing w:val="false"/>
              <w:ind w:left="142" w:right="0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</w:tc>
      </w:tr>
      <w:tr>
        <w:trPr>
          <w:trHeight w:val="1020"/>
        </w:trPr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2.8.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Анализ практики рассмотрения органами государственной власти Кабардино-Балкарской Республики и органами местного самоуправления обращений граждан и организаций по фактам коррупции, а также принятые по таким обращениям меры реагирования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0" w:right="0" w:firstLine="142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В 3 квартале 2022 г. обращений граждан о проявлениях коррупции в министерстве не поступало.</w:t>
            </w:r>
            <w:r>
              <w:rPr>
                <w:highlight w:val="white"/>
              </w:rPr>
            </w:r>
            <w:r/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2.9.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еализация мер профилактики коррупции, ориентированных на снижение коррупционных рисков и обеспечение открытости власти, в том числе при реализации исполнительными органами государственной власти Кабардино-Балкарской Республики лицензионно-разрешительных по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лномочий, осуществлении контрольно-надзорных функций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pStyle w:val="629"/>
              <w:ind w:left="142" w:right="221" w:firstLine="708"/>
              <w:jc w:val="both"/>
              <w:spacing w:lineRule="auto" w:line="240"/>
              <w:rPr>
                <w:rFonts w:ascii="Times New Roman" w:hAnsi="Times New Roman" w:cs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2"/>
                <w:highlight w:val="white"/>
              </w:rPr>
              <w:t xml:space="preserve">С 1 января 2021 г. в соответствии с 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Федеральным законом от 27 декабря 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2019 г. № 478-ФЗ «О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деятельности» предусмотрен приоритет подачи заявлений о </w:t>
            </w:r>
            <w:r>
              <w:rPr>
                <w:rStyle w:val="638"/>
                <w:rFonts w:ascii="Times New Roman" w:hAnsi="Times New Roman" w:cs="Times New Roman"/>
                <w:sz w:val="22"/>
                <w:highlight w:val="white"/>
              </w:rPr>
              <w:t xml:space="preserve">предоставлении (переоформлении) лицензий в электронной форме.</w:t>
            </w:r>
            <w:r>
              <w:rPr>
                <w:sz w:val="22"/>
              </w:rPr>
            </w:r>
            <w:r/>
          </w:p>
          <w:p>
            <w:pPr>
              <w:pStyle w:val="637"/>
              <w:ind w:left="142" w:right="221" w:firstLine="708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sz w:val="22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white"/>
              </w:rPr>
              <w:t xml:space="preserve">Пр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2"/>
                <w:szCs w:val="22"/>
                <w:highlight w:val="white"/>
              </w:rPr>
              <w:t xml:space="preserve">и предоставлении государственной услуги от заявителей не требуются документы, подтверждение которых Минпросвещения КБР получает в рамках межведомственного взаимодействия с Федеральной налоговой службой по Кабардино-Балкарской Республики,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white"/>
              </w:rPr>
              <w:t xml:space="preserve">Управлением Федеральной службы по надзору в сфере защиты прав потребителей и благополучия человека по Кабардино-Балкарской Республике Управлением</w:t>
            </w:r>
            <w:r>
              <w:rPr>
                <w:rStyle w:val="639"/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white"/>
              </w:rPr>
              <w:t xml:space="preserve">Федерального казначейства по Кабардино-Балкарской Республике.</w:t>
            </w:r>
            <w:r>
              <w:rPr>
                <w:sz w:val="22"/>
              </w:rPr>
            </w:r>
            <w:r/>
          </w:p>
          <w:p>
            <w:pPr>
              <w:pStyle w:val="637"/>
              <w:ind w:left="142" w:right="221" w:firstLine="708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white"/>
              </w:rPr>
              <w:t xml:space="preserve">Сведения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white"/>
              </w:rPr>
              <w:t xml:space="preserve">о заявлении и прилагаемых к нему документах, о ходе и сроках рассмотрения документов, о проведении проверок, о результате рассмотрения заявления и принятии решения вносятся в информационную систему, обеспечивающую автоматизацию контрольно-надзорной деятель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white"/>
              </w:rPr>
              <w:t xml:space="preserve">ности за органами государственной власти субъектов Российской Федерации, исполняющими переданные полномочия Российской Федерации в сфере образования (ИС АКНДПП) и находятся под постоянным контролем Федеральной службы по надзору в сфере образования и науки.</w:t>
            </w:r>
            <w:r>
              <w:rPr>
                <w:sz w:val="22"/>
              </w:rPr>
            </w:r>
            <w:r/>
          </w:p>
          <w:p>
            <w:pPr>
              <w:ind w:left="142" w:right="0" w:firstLine="0"/>
              <w:jc w:val="both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 настоящее время проводится анализ административного регламента предоставления государственной услуги по лицензированию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образовательной деятельности организаций, осуществляющих образовательную деятельность, зарегистрированных на территории Кабардино-Балкарской Республики на предмет того, что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при реализации данной функции возникают коррупционные риски.</w:t>
            </w:r>
            <w:r>
              <w:rPr>
                <w:sz w:val="22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2.10.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противодействии коррупции, а также работни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ков кадровых подразделений, в том числе их обучение по дополнительным профессиональным программам в области противодействия коррупции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142" w:right="176" w:firstLine="0"/>
              <w:jc w:val="both"/>
              <w:rPr>
                <w:rFonts w:ascii="Times New Roman" w:hAnsi="Times New Roman" w:cs="Times New Roman" w:eastAsia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осударственных гражданских служащих, в чьи должностные обязанности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входит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участие в противодействии коррупции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, в 3 квартале 2022 г. прошли повышение квалификации на тему: «Антикоррупционная экспертиза нормативных правовых актов и их проектов».</w:t>
            </w:r>
            <w:r>
              <w:rPr>
                <w:sz w:val="22"/>
              </w:rPr>
            </w:r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2.11.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службу, муниципальную службу и работу в соответствующие организации и замещающих должности, связанные с собл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юдением антикоррупционных стандартов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vMerge w:val="restart"/>
            <w:textDirection w:val="lrTb"/>
            <w:noWrap w:val="false"/>
          </w:tcPr>
          <w:p>
            <w:pPr>
              <w:ind w:left="283" w:right="176" w:firstLine="0"/>
              <w:jc w:val="both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3 госу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дарственных гражданских служащих,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впервые поступивших на государственную гражданскую службу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замещающих должности, связанные с собл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юдением антикоррупционных стандартов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, в 3 квартале 2022 г. прошли повышение квалификации по программе «Антикоррупционное поведение государственных гражданских служащих: правовые, экономические и психологические аспекты»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2.12.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проведении закупок товаров, работ, услуг д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ля обеспечения государственных и муниципальных нужд, в том числе их обучение по дополнительным профессиональным программам в области противодействия коррупции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pStyle w:val="636"/>
              <w:ind w:left="283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осударственных гражданских служащих, в чьи должностные обязанности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входит участие в проведении закупок товаров, работ, услуг д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ля обеспечения государственных и муниципальных нужд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 3 квартале 2022 г. прошли повышение квалификации по программе «Антикоррупционное поведение государственных гражданских служащих: правовые, экономические и психологические аспекты».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2.14.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Проведение анализа эффективности реализации ведомственных и муниципальных программ (планов) противодействия коррупции и внесение рекомендаций по повышению эффективности их реализации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Отчет о реализации антикоррупционной деятельности за 2021 г. в соответствии с протоколом № 1 от 24.02.2022 г. рассмотрен на расширенном 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заседании Коллегии Минпросвещения КБР с участием членов Общественного совета Минпросвещения КБР, начальников муниципальных органов управления образованием, руководителей и работников подведомственных организаций, представителей средств массовой информации.</w:t>
            </w:r>
            <w:r>
              <w:rPr>
                <w:sz w:val="22"/>
              </w:rPr>
            </w:r>
            <w:r/>
          </w:p>
          <w:p>
            <w:pPr>
              <w:ind w:left="142" w:right="221" w:firstLine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11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2.18.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Реализация комплекса мер по предупреждению и минимизации бытовой коррупции в сферах образования, здравоохранения и социальной защиты населения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vMerge w:val="restart"/>
            <w:textDirection w:val="lrTb"/>
            <w:noWrap w:val="false"/>
          </w:tcPr>
          <w:p>
            <w:pPr>
              <w:ind w:left="142" w:right="176" w:firstLine="0"/>
              <w:jc w:val="both"/>
              <w:spacing w:lineRule="auto" w:line="240"/>
              <w:rPr>
                <w:rFonts w:ascii="Times New Roman" w:hAnsi="Times New Roman" w:cs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С целью минимизации бы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товой коррупции в сфере образования 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приказом Минпросвещения КБР от 08.10.2018 г.  № 730 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утвержден Комплекс мер по предупреждению и минимизации бытовой коррупции в образовательных орган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изациях, подведомственных Минпросвещения КБР.</w:t>
            </w:r>
            <w:r/>
          </w:p>
          <w:p>
            <w:pPr>
              <w:ind w:left="142" w:right="176" w:firstLine="0"/>
              <w:jc w:val="both"/>
              <w:spacing w:lineRule="auto" w:line="24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Данный приказ доведен до сведения всех заинтересованных. </w:t>
            </w:r>
            <w:r>
              <w:rPr>
                <w:sz w:val="22"/>
              </w:rPr>
            </w:r>
            <w:r/>
          </w:p>
          <w:p>
            <w:pPr>
              <w:pStyle w:val="634"/>
              <w:numPr>
                <w:ilvl w:val="0"/>
                <w:numId w:val="9"/>
              </w:numPr>
              <w:ind w:left="142" w:right="176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 3 квартале 2022 г. проведен анализ правовой базы деятельности организаций, 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подведомственных Минпросвещения КБР. Ряду организаций даны рекомендации по приведению в соответствие в связи с кадровыми изменениями по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определению лиц, ответственных за профилактику коррупционных и иных правонарушений; по устранению пробелов, не урегулированных локальными актами организаций  регулирующих вопросы противодействия коррупции; по размещению полной и объективной информации на официальном сайте и информ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ационном стенде учреждения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 по исполнению ведомственного плана по противодействию коррупции.</w:t>
            </w:r>
            <w:r/>
          </w:p>
          <w:p>
            <w:pPr>
              <w:pStyle w:val="634"/>
              <w:numPr>
                <w:ilvl w:val="0"/>
                <w:numId w:val="9"/>
              </w:numPr>
              <w:ind w:left="142" w:right="176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За 3 квартал 2022 г.  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жалоб и обращений граждан и организаций в подведомственные образовательные организации не поступало.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</w:p>
          <w:p>
            <w:pPr>
              <w:pStyle w:val="634"/>
              <w:numPr>
                <w:ilvl w:val="0"/>
                <w:numId w:val="9"/>
              </w:numPr>
              <w:ind w:left="142" w:right="176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Информации о фактах коррупции в Минпросвещения КБР и подведомственных образовательных организаций в ходе анализа информации, распространяемой СМИ не выявлено.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</w:p>
          <w:p>
            <w:pPr>
              <w:pStyle w:val="634"/>
              <w:numPr>
                <w:ilvl w:val="0"/>
                <w:numId w:val="9"/>
              </w:numPr>
              <w:ind w:left="142" w:right="176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Планируется в 4 квартале 2022 г.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</w:p>
          <w:p>
            <w:pPr>
              <w:pStyle w:val="1_845"/>
              <w:numPr>
                <w:ilvl w:val="0"/>
                <w:numId w:val="9"/>
              </w:numPr>
              <w:ind w:left="142" w:right="176" w:firstLine="0"/>
              <w:jc w:val="both"/>
              <w:tabs>
                <w:tab w:val="clear" w:pos="4677" w:leader="none"/>
                <w:tab w:val="clear" w:pos="9355" w:leader="none"/>
              </w:tabs>
            </w:pPr>
            <w:r>
              <w:rPr>
                <w:sz w:val="22"/>
                <w:szCs w:val="28"/>
              </w:rPr>
              <w:t xml:space="preserve">в 3 квартале 2022 г.</w:t>
            </w:r>
            <w:r>
              <w:rPr>
                <w:sz w:val="22"/>
                <w:szCs w:val="28"/>
              </w:rPr>
              <w:t xml:space="preserve"> образовательными организациями, подведомственными Минпросвещения КБР, проведен 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ониторинг мнения родителей (законных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представителей) обучающихся образовательных организаций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, подведомственных Минпросвещения КБР 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по вопросам оказания платных образовательных услуг,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привлечения и расходования добровольных пожертвований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и целевых взносов физических лиц.</w:t>
            </w:r>
            <w:r>
              <w:rPr>
                <w:rFonts w:ascii="Times New Roman" w:hAnsi="Times New Roman"/>
                <w:sz w:val="22"/>
                <w:szCs w:val="28"/>
                <w:highlight w:val="none"/>
              </w:rPr>
            </w:r>
            <w:r/>
          </w:p>
          <w:p>
            <w:pPr>
              <w:pStyle w:val="636"/>
              <w:ind w:left="142" w:right="176" w:firstLine="0"/>
              <w:jc w:val="both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8"/>
                <w:highlight w:val="none"/>
              </w:rPr>
              <w:t xml:space="preserve">Результаты проведенного мониторинга показывают, что преобладающее большинство родителей, законных представителей систематически посещают официальные сайты учреждений по вопросам о </w:t>
            </w:r>
            <w:r>
              <w:rPr>
                <w:rFonts w:ascii="Times New Roman" w:hAnsi="Times New Roman"/>
                <w:sz w:val="22"/>
                <w:szCs w:val="28"/>
                <w:highlight w:val="none"/>
              </w:rPr>
              <w:t xml:space="preserve">порядке привлечения и расходования добровольных пожертвований и целевых взносов, интересующую информацию респонденты своевременно получают от администрации учреждения, либо самостоятельно через официальный сайт учреждения. Всего в мониторинге приняли участие 956 респондентов.</w:t>
            </w:r>
            <w:r>
              <w:rPr>
                <w:rFonts w:ascii="Times New Roman" w:hAnsi="Times New Roman"/>
                <w:sz w:val="22"/>
                <w:szCs w:val="28"/>
              </w:rPr>
            </w:r>
            <w:r/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1. Известен ли Вам телефон или электронный адрес региональной постоянно действующей "горячей линий" по вопросам незаконных сборов денежных средств в общеобразовательных организациях: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известен; 531 (55,5%)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Нет, но я знаю, где его можно найти; 248 (26%)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Неизвестен; 88 (9,2%)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Г) Мне это не интересно. 69 (7,2%)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2. Известно ли Вам, что на официальном сайте общеобразовательной организации, в которой обучается Ваш ребенок, размещен документ о порядке оказания платных образовательных услуг: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нас уведомили в школе; 597 (62%)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Да, я регулярно посещаю сайт школы; 157 (16%)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Нет, не знаю об этом; 103 (11%)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Г) Мне это не интересно. 54 (5,6%)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3. Известно ли Вам, что на официальном сайте общеобразовательной организации, в которой обучается Ваш ребенок, размещен образец договора об оказании платных образовательных услуг: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нас уведомили в школе;508 (53%)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Да, я регулярно посещаю сайт школы; 241 (25%)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Нет, не знаю об этом;110 (11,5%)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Г) Мне это не интересно.80 (8%)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4. Известно ли Вам, что на официальном сайте общеобразовательной организации, в которой обучается Ваш ребенок, размещен документ об утверждении стоимости обучения по каждой образовательной программе: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нас уведомили в школе;488 (51%)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Да, я регулярно посещаю сайт школы;100 (10,4%)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Нет, не знаю об этом;250 (26%)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Г) Мне это не интересно.98 (10%)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5. Вы обладаете необходимой и достоверной информацией о пере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чне услуг, оказываемых образовательной организацией, в которой обучается Ваш ребенок, 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уровнях):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нас познакомили под роспись в школе; 499 (52%)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Да, я познакомился на сайте школы; 119 (12%)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Нет, не знаком; 217 (23%)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Г) Мне это не интересно. 202 (21%)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6. Известно ли Вам, какие образовательные услуги оказываются в общеобразовательной организации, в которой обучается Ваш ребенок, на платной основе: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нас познакомили с их перечнем в школе;611 (64%)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Да, я познакомился на сайте школы;194 (20%)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Нет, не известно; 79 (8%)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Г) Мне это не интересно. 106 (0,11%)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7. Известно ли Вам, в каком порядке и на каких условиях Вы, как родитель, можете внести в общеобразовательную организацию, в которой обучается Ваш ребенок, добровольное пожертвование или и целевой взнос: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нас познакомили с этим в школе; 503 (68%)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Да, я познакомился с этим на сайте школы; 63 (8%)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Нет, не известно;83 (11,1%)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Г) Мне это не интересно.75 (10%)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8. Известно ли Вам, кем и где принимаются решения о необходимости привлечения родительских средств на нужды общеобразовательной организации, в которой обучается Ваш ребенок: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нас познакомили с этим в школе; 432 (58%)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Да, я познакомился с этим на сайте школы; 148 (20%)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Нет, не известно; 99 (13%)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Г) Мне это не интересно. 48 (6%)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9. Имеют ли право родители учащихся общеобразовательной организации, в которой обучается Ваш ребенок, осуществлять контроль за расходованием родительских средств (имеется локальный акт):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имеют; 583 (78%)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Мне это не известно; 182 (24%)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Мне это не интересно.9 (1,2%)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10. Известны ли Вам телефоны "горячих линий", адреса электронных приемных (в том числе правоохранительных и контрольно-надзорных органов), которыми Вы или Ваш ребенок можете воспользоваться в случае незаконного сбора денежных средств: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нас уведомили об этом в школе; 482 (65%)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Да, они размещены на официальном сайте управления образования; 112 (15%)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Нет, не знаю об этом; 168 (22,5%)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6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Г) Мне это не интересно. 46 (6%)</w:t>
            </w:r>
            <w:r>
              <w:rPr>
                <w:rFonts w:ascii="Times New Roman" w:hAnsi="Times New Roman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pStyle w:val="634"/>
              <w:numPr>
                <w:ilvl w:val="0"/>
                <w:numId w:val="9"/>
              </w:numPr>
              <w:ind w:left="142" w:right="176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В 3 квартале 2022 г. конкурса на замещение должности руководителя образовательной организации, подведомственной Минпросвещения КБР и аттестации педагогических и руководящих работников, в подведомственных Минпросвещения КБР образовательных организациях не проводилось. 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12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2.19.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Поддержание в актуальном состоянии административных регламентов предоставления государственных услуг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highlight w:val="none"/>
              </w:rPr>
              <w:t xml:space="preserve">В 3 квартале 2022 г. изменения в административные регламенты предоставления государственных услуг не вносились.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highlight w:val="white"/>
              </w:rPr>
              <w:t xml:space="preserve">Вся актуальная информация по предоставлению государственных услуг размещена на официальном сайте Минпросвещения КБР во вкладке Государственные услуги.</w:t>
            </w:r>
            <w:r>
              <w:rPr>
                <w:sz w:val="22"/>
              </w:rPr>
            </w:r>
            <w:r/>
          </w:p>
          <w:p>
            <w:pPr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</w:r>
            <w:r>
              <w:rPr>
                <w:sz w:val="22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13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36"/>
              <w:rPr>
                <w:rFonts w:ascii="Times New Roman" w:hAnsi="Times New Roman" w:cs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2.22.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pStyle w:val="636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Организация специальных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курсов повышения квалификации для работников общеобразовательных организаций, организаций начального и среднего профессионального образования по теме использования элементов антикоррупционного воспитания на уроках истории, экономики, права, обществознания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176" w:firstLine="0"/>
              <w:jc w:val="both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Во 2 квартале 2022 г.  прошли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специальные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курсы повышения квалификации 40 работников общеобразовательных организаций, организаций начального и среднего профессионального образования по теме использования элементов антикоррупционного воспитания на уроках истории, экономики, права, обществознания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14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36"/>
              <w:rPr>
                <w:rFonts w:ascii="Times New Roman" w:hAnsi="Times New Roman" w:cs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2.24.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pStyle w:val="636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Проведение республиканского молодежного форума "Стоп, коррупция!"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283" w:right="176" w:firstLine="0"/>
              <w:jc w:val="both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Запланировано в 1 декаде октября 2022 г. на базе 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г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осударственного бюджетного профессионального образовательного учреждения «Кабардино-Балкарский гуманитарно-технический колледж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».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sz w:val="22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15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36"/>
              <w:rPr>
                <w:rFonts w:ascii="Times New Roman" w:hAnsi="Times New Roman" w:cs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2.25.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pStyle w:val="636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Проведение мероприятий, посвященных Международному дню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борьбы с коррупцией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283" w:right="0" w:firstLine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Планируется в 4 квартале 2022 г.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16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2.27.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Мониторинг принимаемых мер по профилактике коррупции в подведомственных  государственных учреждениях, разработка комплекса мер по совершенствованию деятельности по профилактике коррупции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283" w:right="208" w:firstLine="0"/>
              <w:jc w:val="both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В соответствии с Методическими рекомендациями по разработке и принятию организациями мер по предупреждению и противодействию коррупции, разработанными Министерством труда и социальной защиты Российской Федерации, в подведомственных Минпросвещения КБР го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сударственных учреждениях приняты следующие меры по предупреждению коррупции: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определены должностные лица, ответственные за профилактику коррупционных и иных правонарушений; разработаны и приняты локальные нормативные акты, регулирующие вопросы противодействия коррупции; размещена необходимая информация на официальном сайте и информ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ационном стенде учреждения. </w:t>
            </w:r>
            <w:r>
              <w:rPr>
                <w:highlight w:val="white"/>
              </w:rPr>
            </w:r>
            <w:r/>
          </w:p>
          <w:p>
            <w:pPr>
              <w:ind w:left="283" w:right="208" w:firstLine="0"/>
              <w:jc w:val="both"/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В настоящее время осуществляется сбор и анализ принятых в подведомственных образовательных учреждениях локальных актов, регламентирующих меры по профилактике коррупции.</w:t>
            </w:r>
            <w:r>
              <w:rPr>
                <w:highlight w:val="white"/>
              </w:rPr>
            </w:r>
            <w:r/>
          </w:p>
          <w:p>
            <w:pPr>
              <w:ind w:left="283" w:right="208" w:firstLine="0"/>
              <w:jc w:val="both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 1 квартале 2022 г. в рамках реализации законодательства о внутриведомственном контроле проведена 1 выездная проверка ГБПОУ «Прохладненский многопрофильный колледж». Руководителю учреждения и ответственному за реализацию антик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оррупционной политики в учреждении даны рекомендации по совершенствованию антикоррупционной деятельности, своевременному размещению на официальном сайте учреждения полной и достоверной информации о проводимых мероприятиях антикоррупционной направленности. 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17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2.29.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Направление в уполномоченный орган государственной власти КБР по профилактике коррупционных и иных правонарушений информации, касающейся событий, признак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283" w:right="0" w:firstLine="0"/>
              <w:jc w:val="left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 3 квартале 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 исполнение распоряжения Главы КБР от 29.08.2019 г. № 96-РГ в уполномоченный орган госвласти КБР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по профилактике коррупционных и иных правонарушений направлена соответствующая информация. </w:t>
            </w:r>
            <w:r>
              <w:rPr>
                <w:highlight w:val="white"/>
              </w:rPr>
            </w:r>
            <w:r/>
          </w:p>
          <w:p>
            <w:pPr>
              <w:contextualSpacing w:val="false"/>
              <w:ind w:right="0"/>
              <w:jc w:val="left"/>
              <w:rPr>
                <w:sz w:val="22"/>
                <w:highlight w:val="white"/>
              </w:rPr>
              <w:suppressLineNumbers w:val="0"/>
            </w:pPr>
            <w:r>
              <w:rPr>
                <w:sz w:val="22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18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2.30.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Реализация комплекса мер по порядку отбора и изучению кандидатов на отдельные должности государственной гражданской службы КБР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283" w:right="0" w:firstLine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В 3 квартале 2022 г. назначения на отдельные должности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государственной гражданской службы КБР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 не осуществлялись.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19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2.32.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Организация наполнения разделов "Противодействие коррупции" официальных сайтов исполнительных органов государственной власти Кабардино-Балкарской Республики и органов местного самоуправления в информационно-телекоммуникационной сети "Интернет"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vMerge w:val="restart"/>
            <w:textDirection w:val="lrTb"/>
            <w:noWrap w:val="false"/>
          </w:tcPr>
          <w:p>
            <w:pPr>
              <w:ind w:left="283" w:right="0" w:firstLine="0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 3 квартале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2022 г.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в разделе «Антикоррупционная деятельность» размещен 1 информационно-аналитический материал на антикоррупционную тематику.</w:t>
            </w:r>
            <w:r>
              <w:rPr>
                <w:highlight w:val="white"/>
              </w:rPr>
            </w:r>
            <w:r/>
          </w:p>
        </w:tc>
      </w:tr>
    </w:tbl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76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  <w:r/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–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bullet"/>
      <w:isLgl w:val="false"/>
      <w:suff w:val="tab"/>
      <w:lvlText w:val="–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bullet"/>
      <w:isLgl w:val="false"/>
      <w:suff w:val="tab"/>
      <w:lvlText w:val="–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bullet"/>
      <w:isLgl w:val="false"/>
      <w:suff w:val="tab"/>
      <w:lvlText w:val="–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bullet"/>
      <w:isLgl w:val="false"/>
      <w:suff w:val="tab"/>
      <w:lvlText w:val="–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bullet"/>
      <w:isLgl w:val="false"/>
      <w:suff w:val="tab"/>
      <w:lvlText w:val="–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bullet"/>
      <w:isLgl w:val="false"/>
      <w:suff w:val="tab"/>
      <w:lvlText w:val="–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pStyle w:val="641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642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643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644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645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646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647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648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649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5">
    <w:name w:val="Heading 1 Char"/>
    <w:link w:val="616"/>
    <w:uiPriority w:val="9"/>
    <w:rPr>
      <w:rFonts w:ascii="Arial" w:hAnsi="Arial" w:cs="Arial" w:eastAsia="Arial"/>
      <w:sz w:val="40"/>
      <w:szCs w:val="40"/>
    </w:rPr>
  </w:style>
  <w:style w:type="character" w:styleId="456">
    <w:name w:val="Heading 2 Char"/>
    <w:link w:val="617"/>
    <w:uiPriority w:val="9"/>
    <w:rPr>
      <w:rFonts w:ascii="Arial" w:hAnsi="Arial" w:cs="Arial" w:eastAsia="Arial"/>
      <w:sz w:val="34"/>
    </w:rPr>
  </w:style>
  <w:style w:type="character" w:styleId="457">
    <w:name w:val="Heading 3 Char"/>
    <w:link w:val="618"/>
    <w:uiPriority w:val="9"/>
    <w:rPr>
      <w:rFonts w:ascii="Arial" w:hAnsi="Arial" w:cs="Arial" w:eastAsia="Arial"/>
      <w:sz w:val="30"/>
      <w:szCs w:val="30"/>
    </w:rPr>
  </w:style>
  <w:style w:type="character" w:styleId="458">
    <w:name w:val="Heading 4 Char"/>
    <w:link w:val="619"/>
    <w:uiPriority w:val="9"/>
    <w:rPr>
      <w:rFonts w:ascii="Arial" w:hAnsi="Arial" w:cs="Arial" w:eastAsia="Arial"/>
      <w:b/>
      <w:bCs/>
      <w:sz w:val="26"/>
      <w:szCs w:val="26"/>
    </w:rPr>
  </w:style>
  <w:style w:type="character" w:styleId="459">
    <w:name w:val="Heading 5 Char"/>
    <w:link w:val="620"/>
    <w:uiPriority w:val="9"/>
    <w:rPr>
      <w:rFonts w:ascii="Arial" w:hAnsi="Arial" w:cs="Arial" w:eastAsia="Arial"/>
      <w:b/>
      <w:bCs/>
      <w:sz w:val="24"/>
      <w:szCs w:val="24"/>
    </w:rPr>
  </w:style>
  <w:style w:type="character" w:styleId="460">
    <w:name w:val="Heading 6 Char"/>
    <w:link w:val="621"/>
    <w:uiPriority w:val="9"/>
    <w:rPr>
      <w:rFonts w:ascii="Arial" w:hAnsi="Arial" w:cs="Arial" w:eastAsia="Arial"/>
      <w:b/>
      <w:bCs/>
      <w:sz w:val="22"/>
      <w:szCs w:val="22"/>
    </w:rPr>
  </w:style>
  <w:style w:type="character" w:styleId="461">
    <w:name w:val="Heading 7 Char"/>
    <w:link w:val="62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62">
    <w:name w:val="Heading 8 Char"/>
    <w:link w:val="623"/>
    <w:uiPriority w:val="9"/>
    <w:rPr>
      <w:rFonts w:ascii="Arial" w:hAnsi="Arial" w:cs="Arial" w:eastAsia="Arial"/>
      <w:i/>
      <w:iCs/>
      <w:sz w:val="22"/>
      <w:szCs w:val="22"/>
    </w:rPr>
  </w:style>
  <w:style w:type="character" w:styleId="463">
    <w:name w:val="Heading 9 Char"/>
    <w:link w:val="624"/>
    <w:uiPriority w:val="9"/>
    <w:rPr>
      <w:rFonts w:ascii="Arial" w:hAnsi="Arial" w:cs="Arial" w:eastAsia="Arial"/>
      <w:i/>
      <w:iCs/>
      <w:sz w:val="21"/>
      <w:szCs w:val="21"/>
    </w:rPr>
  </w:style>
  <w:style w:type="character" w:styleId="464">
    <w:name w:val="Title Char"/>
    <w:link w:val="633"/>
    <w:uiPriority w:val="10"/>
    <w:rPr>
      <w:sz w:val="48"/>
      <w:szCs w:val="48"/>
    </w:rPr>
  </w:style>
  <w:style w:type="character" w:styleId="465">
    <w:name w:val="Subtitle Char"/>
    <w:link w:val="631"/>
    <w:uiPriority w:val="11"/>
    <w:rPr>
      <w:sz w:val="24"/>
      <w:szCs w:val="24"/>
    </w:rPr>
  </w:style>
  <w:style w:type="character" w:styleId="466">
    <w:name w:val="Quote Char"/>
    <w:link w:val="630"/>
    <w:uiPriority w:val="29"/>
    <w:rPr>
      <w:i/>
    </w:rPr>
  </w:style>
  <w:style w:type="character" w:styleId="467">
    <w:name w:val="Intense Quote Char"/>
    <w:link w:val="632"/>
    <w:uiPriority w:val="30"/>
    <w:rPr>
      <w:i/>
    </w:rPr>
  </w:style>
  <w:style w:type="character" w:styleId="468">
    <w:name w:val="Header Char"/>
    <w:link w:val="628"/>
    <w:uiPriority w:val="99"/>
  </w:style>
  <w:style w:type="character" w:styleId="469">
    <w:name w:val="Footer Char"/>
    <w:link w:val="627"/>
    <w:uiPriority w:val="99"/>
  </w:style>
  <w:style w:type="paragraph" w:styleId="470">
    <w:name w:val="Caption"/>
    <w:basedOn w:val="615"/>
    <w:next w:val="61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1">
    <w:name w:val="Caption Char"/>
    <w:basedOn w:val="470"/>
    <w:link w:val="627"/>
    <w:uiPriority w:val="99"/>
  </w:style>
  <w:style w:type="table" w:styleId="472">
    <w:name w:val="Table Grid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3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4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5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6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77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8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79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0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1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2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3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87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88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89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0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1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2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1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2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3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04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05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06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07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08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09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0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1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2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3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14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15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16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17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18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19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0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1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2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3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24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25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26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27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36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37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38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39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0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1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2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3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4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5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6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7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8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7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8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9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0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1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2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64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65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66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67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68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69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0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1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72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73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74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75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76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77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78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79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0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1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2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3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84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5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6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7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8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9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0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1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2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3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94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95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96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97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98">
    <w:name w:val="Hyperlink"/>
    <w:uiPriority w:val="99"/>
    <w:unhideWhenUsed/>
    <w:rPr>
      <w:color w:val="0000FF" w:themeColor="hyperlink"/>
      <w:u w:val="single"/>
    </w:rPr>
  </w:style>
  <w:style w:type="paragraph" w:styleId="599">
    <w:name w:val="footnote text"/>
    <w:basedOn w:val="615"/>
    <w:link w:val="600"/>
    <w:uiPriority w:val="99"/>
    <w:semiHidden/>
    <w:unhideWhenUsed/>
    <w:rPr>
      <w:sz w:val="18"/>
    </w:rPr>
    <w:pPr>
      <w:spacing w:lineRule="auto" w:line="240" w:after="40"/>
    </w:pPr>
  </w:style>
  <w:style w:type="character" w:styleId="600">
    <w:name w:val="Footnote Text Char"/>
    <w:link w:val="599"/>
    <w:uiPriority w:val="99"/>
    <w:rPr>
      <w:sz w:val="18"/>
    </w:rPr>
  </w:style>
  <w:style w:type="character" w:styleId="601">
    <w:name w:val="footnote reference"/>
    <w:uiPriority w:val="99"/>
    <w:unhideWhenUsed/>
    <w:rPr>
      <w:vertAlign w:val="superscript"/>
    </w:rPr>
  </w:style>
  <w:style w:type="paragraph" w:styleId="602">
    <w:name w:val="endnote text"/>
    <w:basedOn w:val="615"/>
    <w:link w:val="603"/>
    <w:uiPriority w:val="99"/>
    <w:semiHidden/>
    <w:unhideWhenUsed/>
    <w:rPr>
      <w:sz w:val="20"/>
    </w:rPr>
    <w:pPr>
      <w:spacing w:lineRule="auto" w:line="240" w:after="0"/>
    </w:pPr>
  </w:style>
  <w:style w:type="character" w:styleId="603">
    <w:name w:val="Endnote Text Char"/>
    <w:link w:val="602"/>
    <w:uiPriority w:val="99"/>
    <w:rPr>
      <w:sz w:val="20"/>
    </w:rPr>
  </w:style>
  <w:style w:type="character" w:styleId="604">
    <w:name w:val="endnote reference"/>
    <w:uiPriority w:val="99"/>
    <w:semiHidden/>
    <w:unhideWhenUsed/>
    <w:rPr>
      <w:vertAlign w:val="superscript"/>
    </w:rPr>
  </w:style>
  <w:style w:type="paragraph" w:styleId="605">
    <w:name w:val="toc 1"/>
    <w:basedOn w:val="615"/>
    <w:next w:val="615"/>
    <w:uiPriority w:val="39"/>
    <w:unhideWhenUsed/>
    <w:pPr>
      <w:ind w:left="0" w:right="0" w:firstLine="0"/>
      <w:spacing w:after="57"/>
    </w:pPr>
  </w:style>
  <w:style w:type="paragraph" w:styleId="606">
    <w:name w:val="toc 2"/>
    <w:basedOn w:val="615"/>
    <w:next w:val="615"/>
    <w:uiPriority w:val="39"/>
    <w:unhideWhenUsed/>
    <w:pPr>
      <w:ind w:left="283" w:right="0" w:firstLine="0"/>
      <w:spacing w:after="57"/>
    </w:pPr>
  </w:style>
  <w:style w:type="paragraph" w:styleId="607">
    <w:name w:val="toc 3"/>
    <w:basedOn w:val="615"/>
    <w:next w:val="615"/>
    <w:uiPriority w:val="39"/>
    <w:unhideWhenUsed/>
    <w:pPr>
      <w:ind w:left="567" w:right="0" w:firstLine="0"/>
      <w:spacing w:after="57"/>
    </w:pPr>
  </w:style>
  <w:style w:type="paragraph" w:styleId="608">
    <w:name w:val="toc 4"/>
    <w:basedOn w:val="615"/>
    <w:next w:val="615"/>
    <w:uiPriority w:val="39"/>
    <w:unhideWhenUsed/>
    <w:pPr>
      <w:ind w:left="850" w:right="0" w:firstLine="0"/>
      <w:spacing w:after="57"/>
    </w:pPr>
  </w:style>
  <w:style w:type="paragraph" w:styleId="609">
    <w:name w:val="toc 5"/>
    <w:basedOn w:val="615"/>
    <w:next w:val="615"/>
    <w:uiPriority w:val="39"/>
    <w:unhideWhenUsed/>
    <w:pPr>
      <w:ind w:left="1134" w:right="0" w:firstLine="0"/>
      <w:spacing w:after="57"/>
    </w:pPr>
  </w:style>
  <w:style w:type="paragraph" w:styleId="610">
    <w:name w:val="toc 6"/>
    <w:basedOn w:val="615"/>
    <w:next w:val="615"/>
    <w:uiPriority w:val="39"/>
    <w:unhideWhenUsed/>
    <w:pPr>
      <w:ind w:left="1417" w:right="0" w:firstLine="0"/>
      <w:spacing w:after="57"/>
    </w:pPr>
  </w:style>
  <w:style w:type="paragraph" w:styleId="611">
    <w:name w:val="toc 7"/>
    <w:basedOn w:val="615"/>
    <w:next w:val="615"/>
    <w:uiPriority w:val="39"/>
    <w:unhideWhenUsed/>
    <w:pPr>
      <w:ind w:left="1701" w:right="0" w:firstLine="0"/>
      <w:spacing w:after="57"/>
    </w:pPr>
  </w:style>
  <w:style w:type="paragraph" w:styleId="612">
    <w:name w:val="toc 8"/>
    <w:basedOn w:val="615"/>
    <w:next w:val="615"/>
    <w:uiPriority w:val="39"/>
    <w:unhideWhenUsed/>
    <w:pPr>
      <w:ind w:left="1984" w:right="0" w:firstLine="0"/>
      <w:spacing w:after="57"/>
    </w:pPr>
  </w:style>
  <w:style w:type="paragraph" w:styleId="613">
    <w:name w:val="toc 9"/>
    <w:basedOn w:val="615"/>
    <w:next w:val="615"/>
    <w:uiPriority w:val="39"/>
    <w:unhideWhenUsed/>
    <w:pPr>
      <w:ind w:left="2268" w:right="0" w:firstLine="0"/>
      <w:spacing w:after="57"/>
    </w:pPr>
  </w:style>
  <w:style w:type="paragraph" w:styleId="614">
    <w:name w:val="TOC Heading"/>
    <w:uiPriority w:val="39"/>
    <w:unhideWhenUsed/>
  </w:style>
  <w:style w:type="paragraph" w:styleId="615" w:default="1">
    <w:name w:val="Normal"/>
    <w:qFormat/>
  </w:style>
  <w:style w:type="paragraph" w:styleId="616">
    <w:name w:val="Heading 1"/>
    <w:basedOn w:val="615"/>
    <w:next w:val="615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617">
    <w:name w:val="Heading 2"/>
    <w:basedOn w:val="615"/>
    <w:next w:val="615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618">
    <w:name w:val="Heading 3"/>
    <w:basedOn w:val="615"/>
    <w:next w:val="615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619">
    <w:name w:val="Heading 4"/>
    <w:basedOn w:val="615"/>
    <w:next w:val="615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620">
    <w:name w:val="Heading 5"/>
    <w:basedOn w:val="615"/>
    <w:next w:val="615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621">
    <w:name w:val="Heading 6"/>
    <w:basedOn w:val="615"/>
    <w:next w:val="615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622">
    <w:name w:val="Heading 7"/>
    <w:basedOn w:val="615"/>
    <w:next w:val="615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623">
    <w:name w:val="Heading 8"/>
    <w:basedOn w:val="615"/>
    <w:next w:val="615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624">
    <w:name w:val="Heading 9"/>
    <w:basedOn w:val="615"/>
    <w:next w:val="615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Footer"/>
    <w:basedOn w:val="61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28">
    <w:name w:val="Header"/>
    <w:basedOn w:val="61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29">
    <w:name w:val="No Spacing"/>
    <w:basedOn w:val="615"/>
    <w:qFormat/>
    <w:uiPriority w:val="1"/>
    <w:pPr>
      <w:spacing w:lineRule="auto" w:line="240" w:after="0"/>
    </w:pPr>
  </w:style>
  <w:style w:type="paragraph" w:styleId="630">
    <w:name w:val="Quote"/>
    <w:basedOn w:val="615"/>
    <w:next w:val="615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31">
    <w:name w:val="Subtitle"/>
    <w:basedOn w:val="615"/>
    <w:next w:val="615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632">
    <w:name w:val="Intense Quote"/>
    <w:basedOn w:val="615"/>
    <w:next w:val="615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33">
    <w:name w:val="Title"/>
    <w:basedOn w:val="615"/>
    <w:next w:val="615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634">
    <w:name w:val="List Paragraph"/>
    <w:basedOn w:val="615"/>
    <w:qFormat/>
    <w:uiPriority w:val="34"/>
    <w:pPr>
      <w:contextualSpacing w:val="true"/>
      <w:ind w:left="720"/>
    </w:pPr>
  </w:style>
  <w:style w:type="character" w:styleId="635" w:default="1">
    <w:name w:val="Default Paragraph Font"/>
    <w:uiPriority w:val="1"/>
    <w:semiHidden/>
    <w:unhideWhenUsed/>
  </w:style>
  <w:style w:type="paragraph" w:styleId="636" w:customStyle="1">
    <w:name w:val="ConsPlusNormal"/>
    <w:rPr>
      <w:rFonts w:ascii="Calibri" w:hAnsi="Calibri" w:cs="Calibri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637" w:customStyle="1">
    <w:name w:val="Standard"/>
    <w:rPr>
      <w:rFonts w:ascii="Courier New" w:hAnsi="Courier New" w:cs="Courier New" w:eastAsia="Courier New"/>
      <w:b w:val="false"/>
      <w:bCs w:val="false"/>
      <w:i w:val="false"/>
      <w:iCs w:val="false"/>
      <w:caps w:val="false"/>
      <w:smallCaps w:val="false"/>
      <w:strike w:val="false"/>
      <w:vanish w:val="false"/>
      <w:color w:val="000000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ru-RU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character" w:styleId="638">
    <w:name w:val="Emphasis"/>
    <w:qFormat/>
    <w:rPr>
      <w:i/>
      <w:iCs/>
    </w:rPr>
  </w:style>
  <w:style w:type="character" w:styleId="639" w:customStyle="1">
    <w:name w:val="Основной текст1"/>
    <w:rPr>
      <w:rFonts w:ascii="Times New Roman" w:hAnsi="Times New Roman" w:cs="Times New Roman" w:eastAsia="Times New Roman"/>
      <w:color w:val="000000"/>
      <w:spacing w:val="0"/>
      <w:position w:val="0"/>
      <w:sz w:val="24"/>
      <w:szCs w:val="24"/>
      <w:vertAlign w:val="subscript"/>
      <w:lang w:val="ru-RU" w:bidi="ru-RU" w:eastAsia="ru-RU"/>
    </w:rPr>
  </w:style>
  <w:style w:type="paragraph" w:styleId="640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641">
    <w:name w:val="Заголовок 1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36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0"/>
        <w:numId w:val="3"/>
      </w:numPr>
      <w:contextualSpacing w:val="false"/>
      <w:ind w:left="432" w:right="0" w:hanging="432"/>
      <w:jc w:val="center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432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  <w:suppressLineNumbers w:val="0"/>
    </w:pPr>
  </w:style>
  <w:style w:type="paragraph" w:styleId="642">
    <w:name w:val="Заголовок 2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1"/>
        <w:numId w:val="3"/>
      </w:numPr>
      <w:contextualSpacing w:val="false"/>
      <w:ind w:left="576" w:right="0" w:hanging="576"/>
      <w:jc w:val="center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576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1"/>
      <w:suppressLineNumbers w:val="0"/>
    </w:pPr>
  </w:style>
  <w:style w:type="paragraph" w:styleId="643">
    <w:name w:val="Заголовок 3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2"/>
        <w:numId w:val="3"/>
      </w:numPr>
      <w:contextualSpacing w:val="false"/>
      <w:ind w:left="720" w:right="0" w:hanging="720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72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2"/>
      <w:suppressLineNumbers w:val="0"/>
    </w:pPr>
  </w:style>
  <w:style w:type="paragraph" w:styleId="644">
    <w:name w:val="Заголовок 4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3"/>
        <w:numId w:val="3"/>
      </w:numPr>
      <w:contextualSpacing w:val="false"/>
      <w:ind w:left="864" w:right="0" w:hanging="864"/>
      <w:jc w:val="left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86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3"/>
      <w:suppressLineNumbers w:val="0"/>
    </w:pPr>
  </w:style>
  <w:style w:type="paragraph" w:styleId="645">
    <w:name w:val="Заголовок 5"/>
    <w:rPr>
      <w:rFonts w:ascii="Times New Roman" w:hAnsi="Times New Roman" w:cs="Times New Roman" w:eastAsia="Times New Roman"/>
      <w:b/>
      <w:bCs w:val="false"/>
      <w:i/>
      <w:iCs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4"/>
        <w:numId w:val="3"/>
      </w:numPr>
      <w:contextualSpacing w:val="false"/>
      <w:ind w:left="0" w:right="0" w:firstLine="720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008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4"/>
      <w:suppressLineNumbers w:val="0"/>
    </w:pPr>
  </w:style>
  <w:style w:type="paragraph" w:styleId="646">
    <w:name w:val="Заголовок 6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5"/>
        <w:numId w:val="3"/>
      </w:numPr>
      <w:contextualSpacing w:val="false"/>
      <w:ind w:left="1440" w:right="0" w:firstLine="0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152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5"/>
      <w:suppressLineNumbers w:val="0"/>
    </w:pPr>
  </w:style>
  <w:style w:type="paragraph" w:styleId="647">
    <w:name w:val="Заголовок 7"/>
    <w:rPr>
      <w:rFonts w:ascii="Times New Roman" w:hAnsi="Times New Roman" w:cs="Times New Roman" w:eastAsia="Times New Roman"/>
      <w:b/>
      <w:bCs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en-US" w:bidi="ar-SA" w:eastAsia="ar-SA"/>
    </w:rPr>
    <w:pPr>
      <w:numPr>
        <w:ilvl w:val="6"/>
        <w:numId w:val="3"/>
      </w:numPr>
      <w:contextualSpacing w:val="false"/>
      <w:ind w:left="1296" w:right="0" w:hanging="1296"/>
      <w:jc w:val="center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296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6"/>
      <w:suppressLineNumbers w:val="0"/>
    </w:pPr>
  </w:style>
  <w:style w:type="paragraph" w:styleId="648">
    <w:name w:val="Заголовок 8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en-US" w:bidi="ar-SA" w:eastAsia="ar-SA"/>
    </w:rPr>
    <w:pPr>
      <w:numPr>
        <w:ilvl w:val="7"/>
        <w:numId w:val="3"/>
      </w:numPr>
      <w:contextualSpacing w:val="false"/>
      <w:ind w:left="1440" w:right="0" w:hanging="1440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44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7"/>
      <w:suppressLineNumbers w:val="0"/>
    </w:pPr>
  </w:style>
  <w:style w:type="paragraph" w:styleId="649">
    <w:name w:val="Заголовок 9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8"/>
        <w:numId w:val="3"/>
      </w:numPr>
      <w:contextualSpacing w:val="false"/>
      <w:ind w:left="1584" w:right="0" w:hanging="1584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58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8"/>
      <w:suppressLineNumbers w:val="0"/>
    </w:pPr>
  </w:style>
  <w:style w:type="paragraph" w:styleId="650">
    <w:name w:val="Абзац списка"/>
    <w:basedOn w:val="512"/>
    <w:next w:val="547"/>
    <w:link w:val="512"/>
    <w:rPr>
      <w:rFonts w:ascii="Calibri" w:hAnsi="Calibri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en-US"/>
    </w:rPr>
    <w:pPr>
      <w:contextualSpacing w:val="true"/>
      <w:ind w:left="72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1_845">
    <w:name w:val="Нижний колонтитул"/>
    <w:basedOn w:val="416"/>
    <w:next w:val="737"/>
    <w:link w:val="757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center" w:pos="4677" w:leader="none"/>
        <w:tab w:val="right" w:pos="9355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16</cp:revision>
  <dcterms:modified xsi:type="dcterms:W3CDTF">2022-09-30T09:31:17Z</dcterms:modified>
</cp:coreProperties>
</file>