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Кабардино—Балкарской Республике»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 1 квартал 2023 г.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Министерстве просвещения и науки 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Кабардино-Балкарской Республики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tbl>
      <w:tblPr>
        <w:tblStyle w:val="490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477"/>
        <w:gridCol w:w="1073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№/№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№ пункта 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Наименование мероприятия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Отчет о ходе реализации мероприятия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 1 квартал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2023 г.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11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sz w:val="22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ния КБР на знание антикоррупционного законодательства, требований к служебному поведению. </w:t>
            </w:r>
            <w:r/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24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2.6.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 3 марта 2023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сектором по вопросам противодействия коррупции Минпросвещения КБР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организован семинар на тему: «Актуальные вопросы представления сведений о доходах, расходах, имуществе и обязательствах имущественного хара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ктера в 2023 г.» за отчетный 2022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 участием прокурора отдела по надзору за исполнением законодательства о противодействии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Прокуратуры Кабардино-Балкарской Республики Ульбашевой Ф.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Рассмотрены изменения формы справки для заполнения сведений о доходах, расходах, имуществе и обязательствах имущественного характера с использованием программного обеспечения СПО «Справка БК» версии 2.5.2, даны разъяснения по вопросам соблюдения требований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 законодательства о противодействии коррупции при представлении сведений о доходах, расходах, имуществе и обязательствах имущественного характера, рассмотрены наиболее часто встречающие ошибки при заполнении формы справки, вступившие в силу изменения закон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одательства о противодействии коррупции. </w:t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0" w:right="0" w:firstLine="85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 целью профилактики конфликта интересов при осуществлении государственных закупок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в Минпросвещения КБР проводится работа, направленная на выявление личной заинтересованности служащих (работников)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при осуществлении закупок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, которая приводит или может привести к кон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фликту интересов. В частности, государственные гражданские служащие (работники), участв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ующие при осуществлении закупок, заполняют декларацию о возможной личной заинтересованности, разработанную Министерством труда и социальной защиты Российской Федерации.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На основании указанных действий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формир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уется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профиль служащего (работника), участвующего в закупочной деятельности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0" w:right="0" w:firstLine="85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  <w:t xml:space="preserve">Минпросвещения КБР уделяется внимание развитию правовой грамо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  <w:t xml:space="preserve">тности и правосознания государственных гражданских служащих,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ля обеспечения государственных нужд. В частности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проводятся мероприятия по профессиональному развитию в области противодействия коррупции,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  <w:t xml:space="preserve">. В 2023 году  государственные гражданские служащие, участвующие в закупочной деятельности будут включены в Госзаказ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на повышение квалификации.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contextualSpacing w:val="false"/>
              <w:ind w:left="0" w:right="0" w:firstLine="85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На основании статьи 160.2-1 Бюджетного кодекса Российской Федерации министерством принимаются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меры по активизации внутриведомственного контроля (аудита) за исполнением законодательства о контрактной системе в сфере закупок. В 2023 г. данное мероприятие запланировано на 2 квартал 2023 г.</w:t>
            </w:r>
            <w:r/>
            <w:r/>
            <w:r/>
          </w:p>
          <w:p>
            <w:pPr>
              <w:contextualSpacing w:val="false"/>
              <w:ind w:left="0" w:right="0" w:firstLine="85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В целях реализации мероприятий, направленных на эффективное функционирование антимонопольного комплаенса в Минпросвещения КБР приказом Минпросвещения КБР от 28.02.2023 г. № 22/191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«Об утверждении карты комплаенс-рисков, плана мероприятий по снижению рисков нарушения антимонопольного законодательства (комплаенс-рисков) и ключевых показателей эффективности функционирования антимонопо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льного комплаенса в Министерстве просвещения, науки и по делам молодежи КБР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: актуализированы и утверждены: карта комплаенс рисков, план мероприятий по снижению комплаенс-рисков и ключевые показатели эффективности функционирования антимонопольного комплаенса в Минпросвещения КБР.</w:t>
            </w:r>
            <w:r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  <w:r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</w:p>
          <w:p>
            <w:pPr>
              <w:contextualSpacing w:val="false"/>
              <w:ind w:left="0" w:right="0" w:firstLine="85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В 1 квартале 2023 г. со стороны контролирующих и надзорных органов в сфере закупочной деятельности предписания не поступали. Вместе с тем, в 1 квартале 2023 г. в отношении начальника отдела контрактной службы и материально-технического обеспечения Минпросвещения КБР проведена служебная проверка, по результатам которой, возложенные служебные обязанности признаны надлежаще исполненными.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</w:r>
          </w:p>
        </w:tc>
      </w:tr>
      <w:tr>
        <w:trPr>
          <w:trHeight w:val="1020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1 квартал 2023 г. обращений граждан о проявлениях коррупции в министерстве не поступало.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2.9.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0" w:firstLine="0"/>
              <w:jc w:val="both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Приказом Минпросвещения КБР от 22.12.2022 г. № 22/1041 «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Об утверждении комплекса мер профилактики коррупции, ориентированных на снижение коррупционных рисков и обеспечение открытости власти при реализации Минпросвещения КБР лицензионно-разрешительных полномочий и осуществлении контрольно-надзорных функций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» утверждена карта коррупционных рисков Управления по надзору и контролю в сфере образования Минпросвещения КБР. Выделены административные процедуры (действия), содержащие коррупционные риски при их реализации, подробно описаны возможные коррупцио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нные схемы, определены подразделения и должностные лица, замещение которых связаны с коррупционными рисками, а также предложены меры по минимизации коррупционных рисков в деятельности Управления по надзору и контролю в сфере образования Минпросвещения КБР.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С целью обеспечения открытости власти при осуществлении министерством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разработана форма анкеты для проведения опроса общественного мнения возможности возникновения и действия коррупциогенных факторов на деятельность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Управления по надзору и контролю в сфере образования Минпросвещения КБР, которая размещена на официальном сайте министерства.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ходе осуществления анализа направлений деятельности в сфере образования наиболее подверженными коррупционным рискам являются:  прием и зачисление в образовательные учреждения,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объектив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ность выдачи аттестатов об основном и  среднем общем образовании с отличием, ученической  медали «За особые успехи в учении»,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проведение промежуточной аттестации обучающихся, получающих образование в форме самообразования и семейном образовании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, аттестация педагогических кадров и руководителей образовательных учреждений, капитальное строительство и капитальный ремонт образовательных организаций, реализация национальных проектов.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В 1 квартале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202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 г.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проведено 5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мониторингов безопасн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ости,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т.е.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</w:rPr>
              <w:t xml:space="preserve">наблюдений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</w:rPr>
              <w:t xml:space="preserve"> за соблюдением обязательных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</w:rPr>
              <w:t xml:space="preserve"> требований,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которыми были охвачены 312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подконтрольных лиц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, осуществляющ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их образовательную деятельность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на основании лицензии, выданной Минпросвещения КБР.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По результатам мони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торингов безопасности выдано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103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предостереже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ния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о недопустимости нарушений обязательных требований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Программа профилактики рисков причинения вреда (ущерба) охраняемым законом ценностям при осуществлении федерального г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осударственного контроля (надзора) в сфере образования, осуществляемого Министерством просвещения, науки и по делам молодёжи Кабардино-Балкарской Республики в рамках исполнения полномочий, переданных для осуществления органам государственной власти субъект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ов Российской Федерации, на 2023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год (далее – программа профилактики рисков) по результатам общественного обсуждения утверждена приказом Министерства от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17 ноября 2022 г. № 22/952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. Ежемесячные планы-графики профилактической работы с указанием объектов государственного контроля (надзора) и конкретными датами проведения мероприятий, утвержденные приказами Министерства, размещались на официальном сайте по адресу: http://кбрнадзор.рф.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соответствии с прогр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аммой профилактики рисков в 2023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году осуществлены следующие основные профилактические мероприятия: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ab/>
              <w:t xml:space="preserve">Информирование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образовательной деятельности и требований, установленных федеральными государственными образовательными стандартами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Информирование осуществлялось посредством размещения и поддержания в актуальном состоянии на официальном сайте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управления по контролю и надзору в сфере образования Минпросвещения КБР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ИТС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«Интернет» </w:t>
            </w:r>
            <w:hyperlink r:id="rId9" w:tooltip="https://кбрнадзор.рф" w:history="1">
              <w:r>
                <w:rPr>
                  <w:rStyle w:val="616"/>
                  <w:rFonts w:ascii="Times New Roman" w:hAnsi="Times New Roman" w:cs="Times New Roman" w:eastAsia="Times New Roman"/>
                  <w:sz w:val="22"/>
                  <w:szCs w:val="28"/>
                  <w:lang w:val="ru" w:eastAsia="ru-RU"/>
                </w:rPr>
                <w:t xml:space="preserve">https://кбрнадзор.рф</w:t>
              </w:r>
            </w:hyperlink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обязательных сведе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ний в соответствии со статьей 46 Закона о государственном контроле (надзоре), в том числе перечня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в рамках федерального государственного контроля (надзора) в сфере образования: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поддержания в актуальном состоянии размещенных на официальном сайте в информационно-телекоммуникационной сети «Интернет»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гиперактивных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ссылок на тексты нормативных правовых актов, содержащих обязательные требования;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информирования подконтрольных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лиц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категориях риска к которой относятся лицензиаты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, путем создания на официальном сайте интерактивного окна - реестр подконтрольных лиц с указанием категории риска в отношении каждого из них;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проведение ежеквартального мониторинга действующих нормативных правовых актов Российской Федерации в сфере образования и доведение его до св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едения подконтрольных субъектов;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размещение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на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официальном сайте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направление подконтрольным лицам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информационных писем по актуальным вопросам применения норм законодательства в сфере образования: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«Обзор изменений, внесенных в Федеральный закон от 29 декабря 2012 г. №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273  «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Об образовании в Российской Федерации»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(исх. № 22-18-32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/951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от 03.02.2023 г.);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«Об особенностях реализации дополнительных общеобразовательных программ в области физической культуры и спорта»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(исх. № 22-18-32/1016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от 06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.02.2023 г.);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8"/>
              </w:rPr>
              <w:t xml:space="preserve">Об интерфейсе специализированного раздела «Государственная итоговая аттестация»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официального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сайта  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 инф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ормационно-телекоммуникационной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сети «Интернет»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(исх. № 22-18-32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/951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от 17.03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.2023 г.);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Профилактический визит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1 квартале 2023 году проведено 12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обязательных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выездных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профилактических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визит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отношении контролируемых лиц, получивших лицензию на осуществление образовательной деятельности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срок не позднее чем в течение одного года со дня начала такой деятельности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Сведения о профилактических визитах внесены в полном объеме в Единый реестр контрольных (надзорных) мероприятий.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3. Консультирование контролируемых лиц и их представителей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1 квартале 2023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г.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проведены 80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 индивидуальных консультаций по вопросам применения норм законодательства в сфере образования для руководителей ОООД и их заместителей, работников муниципальных органов управления о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бразованием.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Информация о проведенных контрольных надзорных мероприятиях и профилактических мероприятиях внесена в соответствующие информационные системы: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numPr>
                <w:ilvl w:val="0"/>
                <w:numId w:val="14"/>
              </w:num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федеральная государственная информационная система «Единый реестр контрольных (надзорных) мероприятий» (ФГИС «ЕРКНМ»);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numPr>
                <w:ilvl w:val="0"/>
                <w:numId w:val="14"/>
              </w:num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информационная система, обеспечивающая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(ИС АКНДПП)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  <w:highlight w:val="none"/>
                <w:lang w:val="ru-RU"/>
              </w:rPr>
              <w:t xml:space="preserve">С целью осуществления общественного контроля за ходом капитального строительства и ремонта образов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  <w:highlight w:val="none"/>
                <w:lang w:val="ru-RU"/>
              </w:rPr>
              <w:t xml:space="preserve">ательных учреждений создан штаб родительского общественного контроля, наделенный полномочиями по осуществлению контроля за ходом капитального строительства и капитального ремонта. В 1 квартале 2023 г. продолжаются ремонтные на 10 объектах с двухгодичным циклом ремонтных работ. 21 марта 2023 состоялось очередное заседание комиссии по контролю за ходом проведения капитального ремонта зданий образовательных организаций КБР. Утвержден график выездных мероприятий по контролю с депутатами единой россии и членами штаба родительского общественного контроля. В 2023 г. запланирован ремонт 30 объектов. В январе текущего года ремонт начат на 2 объектах.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 w:eastAsia="Times New Roman"/>
                <w:color w:val="C00000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Аттестация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 педагогических работников организаций, осуществляющих образовательную деятельность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 проводится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в целях установления квалификационн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ой категории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</w:rPr>
              <w:t xml:space="preserve">первой/высшей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(по желанию работника).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C00000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целях недопущения совершения должностными лицами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, а также лицами, привлекаемыми к процедуре аттестации,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коррупционных правонарушений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принимает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ряд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мер 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по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устранения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и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минимизации коррупционных рисков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ттес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тация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педагогических работников в целях установления квалификационной категории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проводится аттестационной комиссией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состав которой утверждается приказом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Минпросвещения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КБР;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рассмотрение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заявлений и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документов, поступивших на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рассмотрение в аттестационную комиссию, и принятие решений проводится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ллегиально,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что обеспечивает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</w:rPr>
              <w:t xml:space="preserve">открытость и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 объективное отношение к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аттестуемым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составы экспертных групп по проведению анализа профессиональной деятельности педагогических работников формируются таким образом, чтобы была исключена возможность конфликта интересов, который мог бы повлиять на объективность принимаемых решений;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составы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комиссий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ериодически</w:t>
            </w:r>
            <w:bookmarkStart w:id="0" w:name="_GoBack"/>
            <w:r>
              <w:rPr>
                <w:rFonts w:ascii="Times New Roman" w:hAnsi="Times New Roman" w:cs="Times New Roman" w:eastAsia="Times New Roman"/>
                <w:sz w:val="22"/>
              </w:rPr>
            </w:r>
            <w:bookmarkEnd w:id="0"/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изменяются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в местах приема граждан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используются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средств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видеонаблюдения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ведется р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азъясн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ительная работа с 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ответственным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лицам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 об ответственности за совершение коррупционных правонарушений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  <w:szCs w:val="27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7"/>
                <w:highlight w:val="none"/>
              </w:rPr>
              <w:t xml:space="preserve">Приказом Минпросвещения КБР от 27.12.2022 г. № 22/1071 утвержден комплекс мер по минимизации коррупционных рисков при реализации министерством национальных проектов. Определены сроки исполне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  <w:highlight w:val="none"/>
              </w:rPr>
              <w:t xml:space="preserve">ния мер и ответственные должностные лица (работники). Структурным подразделениям, ответственным за реализацию национальных проектов строго указано на безусловное соблюдение мерам по недопущению коррупционных проявлений при реализации национальных проектов.</w:t>
            </w:r>
            <w:r>
              <w:rPr>
                <w:rFonts w:ascii="Times New Roman" w:hAnsi="Times New Roman" w:cs="Times New Roman" w:eastAsia="Times New Roman"/>
                <w:sz w:val="22"/>
                <w:szCs w:val="27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contextualSpacing w:val="false"/>
              <w:ind w:left="142" w:right="0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176" w:firstLine="0"/>
              <w:jc w:val="both"/>
              <w:rPr>
                <w:rFonts w:ascii="Times New Roman" w:hAnsi="Times New Roman" w:cs="Times New Roman" w:eastAsia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Во 2 квартале планируется включение в Госзаказ по обучению государственных гражданских служащих.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contextualSpacing w:val="false"/>
              <w:ind w:left="142" w:right="176" w:firstLine="0"/>
              <w:jc w:val="both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Во 2 квартале планируется включение в Госзаказ по обучению государственных гражданских служащих.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176" w:firstLine="0"/>
              <w:jc w:val="both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Во 2 квартале планируется включение в Госзаказ по обучению государственных гражданских служащих.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анализа эффективности реализации ведомственных и муниципальных программ (планов) противодействия коррупции и внесение рекомендаций по повышению эффективности их реализации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Отчет о реализации антикоррупционной деятельности за 2022 г. в соответствии с протоколом № 2 от 27.02.2023 г. рассмотрен на расширенном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заседании Коллегии Минпросвещения КБР с участие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м членов Общественного совета Минпросвещения КБР, начальников муниципальных органов управления образованием, руководителей и работников подведомственных организаций, представителей средств массовой информации. Проводимая работа признана удовлетворительной.</w:t>
            </w:r>
            <w:r>
              <w:rPr>
                <w:sz w:val="22"/>
              </w:rPr>
            </w:r>
            <w:r/>
          </w:p>
          <w:p>
            <w:pPr>
              <w:ind w:left="142" w:right="221" w:firstLine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Обращений и жалоб граждан в целях выявления коррупционных рисков в подведомственные учреждения не поступали в 1 квартале 2023 г.</w:t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</w:rPr>
              <w:t xml:space="preserve">Информации, распространяемой средствами массовой информации, о фактах коррупции в Минпросвещения КБР, учреждениях, подведомственных министерству</w:t>
            </w:r>
            <w:r>
              <w:rPr>
                <w:rFonts w:ascii="Times New Roman" w:hAnsi="Times New Roman" w:cs="Times New Roman" w:eastAsia="Times New Roman"/>
                <w:highlight w:val="none"/>
              </w:rPr>
              <w:t xml:space="preserve"> в 1 квартале не зафиксировано.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Итоги реализации мероприятий по профилактике коррупционных и иных нарушений в подведомственных министерству учреждениях с участием руководителей учреждений</w:t>
            </w:r>
            <w:r>
              <w:rPr>
                <w:rFonts w:ascii="Times New Roman" w:hAnsi="Times New Roman" w:cs="Times New Roman" w:eastAsia="Times New Roman"/>
                <w:highlight w:val="none"/>
              </w:rPr>
              <w:t xml:space="preserve"> рассмотрены на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расширенном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заседании Коллегии Минпросвещения КБР с участие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м членов Общественного совета Минпросвещения КБР, начальников муниципальных органов управления образованием, руководителей и работников подведомственных организаций, представителей средств массовой информации. Проводимая работа признана удовлетворительной.</w:t>
            </w:r>
            <w:r/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тестовые задания и испытания в форме собеседования включены вопросы на знание законодательства о противодействии коррупции при проведении конкурса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 замещение должности руководителя образовательного учреждения, подведомственного Минпросвещения КБР 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аттестации педагогических работников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В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 2023 г. объявлено 2 конкурса на замещение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должности руководителя образовательного учреждения, подведомственного Минпросвещения КБР, тестовые испытания и собеседования назначены на 30 марта 2023 г.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1 квартале 2023 г. в административные регламенты изменения не вносились.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Организация специальных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Планируется во 2 квартале 2023 г.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республиканского молодежного форума "Стоп, коррупция!"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Планируется в 4 квартале.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2.25.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54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борьбы с коррупцией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Планируется в 4 квартале.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283" w:right="0" w:firstLine="0"/>
            </w:pPr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ационном стенде учреждения. 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1 квартале 2023 г. в рамках реализации законодательства о внутриведомственном контроле проведена 1 выездная проверка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1"/>
                <w:highlight w:val="white"/>
              </w:rPr>
              <w:t xml:space="preserve">ГБУ «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1"/>
                <w:highlight w:val="white"/>
              </w:rPr>
              <w:t xml:space="preserve">Центр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1"/>
                <w:highlight w:val="white"/>
              </w:rPr>
              <w:t xml:space="preserve"> психолого-медико-социального сопровождения».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Руководителю учреждения и ответственному за реализацию антик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оррупционной политики в учр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еждении даны рекомендации по совершенствованию антикоррупционной деятельности, своевременному размещению на официальном сайте учреждения полной и достоверной информации о проводимых мероприятиях антикоррупционной направленности.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касающейся событий, признак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283" w:right="0" w:firstLine="0"/>
              <w:jc w:val="left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За 1 квартал 2023 г.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 исполнение распоряжения Главы КБР от 29.08.2019 г. № 96-РГ в уполномоченный орган госвласти КБР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 профилактике коррупционных и иных правонарушений направлена соответствующая информация. 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right="0"/>
              <w:jc w:val="left"/>
              <w:rPr>
                <w:sz w:val="22"/>
                <w:highlight w:val="white"/>
              </w:rPr>
              <w:suppressLineNumbers w:val="0"/>
            </w:pPr>
            <w:r>
              <w:rPr>
                <w:sz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порядку отбора и изучению кандидатов на отдельные должности государственной гражданской службы КБР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 1 квартал 2023 г. назначения на отдельные должности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государственной гражданской службы КБР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не осуществлялись.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0" w:right="0" w:firstLine="283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1 квартал 2023 г. размещено 3 информационно-аналитических материала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76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pStyle w:val="65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60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61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62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63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64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65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66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67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3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character" w:styleId="474">
    <w:name w:val="Heading 2 Char"/>
    <w:link w:val="635"/>
    <w:uiPriority w:val="9"/>
    <w:rPr>
      <w:rFonts w:ascii="Arial" w:hAnsi="Arial" w:cs="Arial" w:eastAsia="Arial"/>
      <w:sz w:val="34"/>
    </w:rPr>
  </w:style>
  <w:style w:type="character" w:styleId="475">
    <w:name w:val="Heading 3 Char"/>
    <w:link w:val="636"/>
    <w:uiPriority w:val="9"/>
    <w:rPr>
      <w:rFonts w:ascii="Arial" w:hAnsi="Arial" w:cs="Arial" w:eastAsia="Arial"/>
      <w:sz w:val="30"/>
      <w:szCs w:val="30"/>
    </w:rPr>
  </w:style>
  <w:style w:type="character" w:styleId="476">
    <w:name w:val="Heading 4 Char"/>
    <w:link w:val="637"/>
    <w:uiPriority w:val="9"/>
    <w:rPr>
      <w:rFonts w:ascii="Arial" w:hAnsi="Arial" w:cs="Arial" w:eastAsia="Arial"/>
      <w:b/>
      <w:bCs/>
      <w:sz w:val="26"/>
      <w:szCs w:val="26"/>
    </w:rPr>
  </w:style>
  <w:style w:type="character" w:styleId="477">
    <w:name w:val="Heading 5 Char"/>
    <w:link w:val="638"/>
    <w:uiPriority w:val="9"/>
    <w:rPr>
      <w:rFonts w:ascii="Arial" w:hAnsi="Arial" w:cs="Arial" w:eastAsia="Arial"/>
      <w:b/>
      <w:bCs/>
      <w:sz w:val="24"/>
      <w:szCs w:val="24"/>
    </w:rPr>
  </w:style>
  <w:style w:type="character" w:styleId="478">
    <w:name w:val="Heading 6 Char"/>
    <w:link w:val="639"/>
    <w:uiPriority w:val="9"/>
    <w:rPr>
      <w:rFonts w:ascii="Arial" w:hAnsi="Arial" w:cs="Arial" w:eastAsia="Arial"/>
      <w:b/>
      <w:bCs/>
      <w:sz w:val="22"/>
      <w:szCs w:val="22"/>
    </w:rPr>
  </w:style>
  <w:style w:type="character" w:styleId="479">
    <w:name w:val="Heading 7 Char"/>
    <w:link w:val="6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0">
    <w:name w:val="Heading 8 Char"/>
    <w:link w:val="641"/>
    <w:uiPriority w:val="9"/>
    <w:rPr>
      <w:rFonts w:ascii="Arial" w:hAnsi="Arial" w:cs="Arial" w:eastAsia="Arial"/>
      <w:i/>
      <w:iCs/>
      <w:sz w:val="22"/>
      <w:szCs w:val="22"/>
    </w:rPr>
  </w:style>
  <w:style w:type="character" w:styleId="481">
    <w:name w:val="Heading 9 Char"/>
    <w:link w:val="642"/>
    <w:uiPriority w:val="9"/>
    <w:rPr>
      <w:rFonts w:ascii="Arial" w:hAnsi="Arial" w:cs="Arial" w:eastAsia="Arial"/>
      <w:i/>
      <w:iCs/>
      <w:sz w:val="21"/>
      <w:szCs w:val="21"/>
    </w:rPr>
  </w:style>
  <w:style w:type="character" w:styleId="482">
    <w:name w:val="Title Char"/>
    <w:link w:val="651"/>
    <w:uiPriority w:val="10"/>
    <w:rPr>
      <w:sz w:val="48"/>
      <w:szCs w:val="48"/>
    </w:rPr>
  </w:style>
  <w:style w:type="character" w:styleId="483">
    <w:name w:val="Subtitle Char"/>
    <w:link w:val="649"/>
    <w:uiPriority w:val="11"/>
    <w:rPr>
      <w:sz w:val="24"/>
      <w:szCs w:val="24"/>
    </w:rPr>
  </w:style>
  <w:style w:type="character" w:styleId="484">
    <w:name w:val="Quote Char"/>
    <w:link w:val="648"/>
    <w:uiPriority w:val="29"/>
    <w:rPr>
      <w:i/>
    </w:rPr>
  </w:style>
  <w:style w:type="character" w:styleId="485">
    <w:name w:val="Intense Quote Char"/>
    <w:link w:val="650"/>
    <w:uiPriority w:val="30"/>
    <w:rPr>
      <w:i/>
    </w:rPr>
  </w:style>
  <w:style w:type="character" w:styleId="486">
    <w:name w:val="Header Char"/>
    <w:link w:val="646"/>
    <w:uiPriority w:val="99"/>
  </w:style>
  <w:style w:type="character" w:styleId="487">
    <w:name w:val="Footer Char"/>
    <w:link w:val="645"/>
    <w:uiPriority w:val="99"/>
  </w:style>
  <w:style w:type="paragraph" w:styleId="488">
    <w:name w:val="Caption"/>
    <w:basedOn w:val="633"/>
    <w:next w:val="6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9">
    <w:name w:val="Caption Char"/>
    <w:basedOn w:val="488"/>
    <w:link w:val="645"/>
    <w:uiPriority w:val="99"/>
  </w:style>
  <w:style w:type="table" w:styleId="490">
    <w:name w:val="Table Grid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1">
    <w:name w:val="Table Grid Light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2">
    <w:name w:val="Plain Table 1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3">
    <w:name w:val="Plain Table 2"/>
    <w:basedOn w:val="64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4">
    <w:name w:val="Plain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5">
    <w:name w:val="Plain Table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Plain Table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7">
    <w:name w:val="Grid Table 1 Light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1 Light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Grid Table 1 Light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Grid Table 1 Light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Grid Table 1 Light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Grid Table 1 Light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Grid Table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2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2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2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2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2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3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3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3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3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4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9">
    <w:name w:val="Grid Table 4 - Accent 1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0">
    <w:name w:val="Grid Table 4 - Accent 2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1">
    <w:name w:val="Grid Table 4 - Accent 3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2">
    <w:name w:val="Grid Table 4 - Accent 4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3">
    <w:name w:val="Grid Table 4 - Accent 5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24">
    <w:name w:val="Grid Table 4 - Accent 6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5">
    <w:name w:val="Grid Table 5 Dark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26">
    <w:name w:val="Grid Table 5 Dark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7">
    <w:name w:val="Grid Table 5 Dark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8">
    <w:name w:val="Grid Table 5 Dark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9">
    <w:name w:val="Grid Table 5 Dark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0">
    <w:name w:val="Grid Table 5 Dark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1">
    <w:name w:val="Grid Table 5 Dark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2">
    <w:name w:val="Grid Table 6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3">
    <w:name w:val="Grid Table 6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34">
    <w:name w:val="Grid Table 6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5">
    <w:name w:val="Grid Table 6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6">
    <w:name w:val="Grid Table 6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7">
    <w:name w:val="Grid Table 6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8">
    <w:name w:val="Grid Table 6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9">
    <w:name w:val="Grid Table 7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7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7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7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7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7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1 Light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List Table 1 Light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List Table 1 Light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List Table 1 Light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1 Light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54">
    <w:name w:val="List Table 2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5">
    <w:name w:val="List Table 2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6">
    <w:name w:val="List Table 2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7">
    <w:name w:val="List Table 2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8">
    <w:name w:val="List Table 2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9">
    <w:name w:val="List Table 2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0">
    <w:name w:val="List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3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3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3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3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3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4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4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4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4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4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5 Dark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5 Dark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7">
    <w:name w:val="List Table 5 Dark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8">
    <w:name w:val="List Table 5 Dark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9">
    <w:name w:val="List Table 5 Dark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0">
    <w:name w:val="List Table 5 Dark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1">
    <w:name w:val="List Table 6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2">
    <w:name w:val="List Table 6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3">
    <w:name w:val="List Table 6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84">
    <w:name w:val="List Table 6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5">
    <w:name w:val="List Table 6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6">
    <w:name w:val="List Table 6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7">
    <w:name w:val="List Table 6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8">
    <w:name w:val="List Table 7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9">
    <w:name w:val="List Table 7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90">
    <w:name w:val="List Table 7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91">
    <w:name w:val="List Table 7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92">
    <w:name w:val="List Table 7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93">
    <w:name w:val="List Table 7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94">
    <w:name w:val="List Table 7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95">
    <w:name w:val="Lined - Accent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6">
    <w:name w:val="Lined - Accent 1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7">
    <w:name w:val="Lined - Accent 2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8">
    <w:name w:val="Lined - Accent 3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9">
    <w:name w:val="Lined - Accent 4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0">
    <w:name w:val="Lined - Accent 5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1">
    <w:name w:val="Lined - Accent 6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2">
    <w:name w:val="Bordered &amp; Lined - Accent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3">
    <w:name w:val="Bordered &amp; Lined - Accent 1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4">
    <w:name w:val="Bordered &amp; Lined - Accent 2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5">
    <w:name w:val="Bordered &amp; Lined - Accent 3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6">
    <w:name w:val="Bordered &amp; Lined - Accent 4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7">
    <w:name w:val="Bordered &amp; Lined - Accent 5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8">
    <w:name w:val="Bordered &amp; Lined - Accent 6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9">
    <w:name w:val="Bordered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0">
    <w:name w:val="Bordered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1">
    <w:name w:val="Bordered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2">
    <w:name w:val="Bordered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3">
    <w:name w:val="Bordered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14">
    <w:name w:val="Bordered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5">
    <w:name w:val="Bordered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6">
    <w:name w:val="Hyperlink"/>
    <w:uiPriority w:val="99"/>
    <w:unhideWhenUsed/>
    <w:rPr>
      <w:color w:val="0000FF" w:themeColor="hyperlink"/>
      <w:u w:val="single"/>
    </w:rPr>
  </w:style>
  <w:style w:type="paragraph" w:styleId="617">
    <w:name w:val="footnote text"/>
    <w:basedOn w:val="633"/>
    <w:link w:val="618"/>
    <w:uiPriority w:val="99"/>
    <w:semiHidden/>
    <w:unhideWhenUsed/>
    <w:rPr>
      <w:sz w:val="18"/>
    </w:rPr>
    <w:pPr>
      <w:spacing w:lineRule="auto" w:line="240" w:after="40"/>
    </w:pPr>
  </w:style>
  <w:style w:type="character" w:styleId="618">
    <w:name w:val="Footnote Text Char"/>
    <w:link w:val="617"/>
    <w:uiPriority w:val="99"/>
    <w:rPr>
      <w:sz w:val="18"/>
    </w:rPr>
  </w:style>
  <w:style w:type="character" w:styleId="619">
    <w:name w:val="footnote reference"/>
    <w:uiPriority w:val="99"/>
    <w:unhideWhenUsed/>
    <w:rPr>
      <w:vertAlign w:val="superscript"/>
    </w:rPr>
  </w:style>
  <w:style w:type="paragraph" w:styleId="620">
    <w:name w:val="endnote text"/>
    <w:basedOn w:val="633"/>
    <w:link w:val="621"/>
    <w:uiPriority w:val="99"/>
    <w:semiHidden/>
    <w:unhideWhenUsed/>
    <w:rPr>
      <w:sz w:val="20"/>
    </w:rPr>
    <w:pPr>
      <w:spacing w:lineRule="auto" w:line="240" w:after="0"/>
    </w:pPr>
  </w:style>
  <w:style w:type="character" w:styleId="621">
    <w:name w:val="Endnote Text Char"/>
    <w:link w:val="620"/>
    <w:uiPriority w:val="99"/>
    <w:rPr>
      <w:sz w:val="20"/>
    </w:rPr>
  </w:style>
  <w:style w:type="character" w:styleId="622">
    <w:name w:val="endnote reference"/>
    <w:uiPriority w:val="99"/>
    <w:semiHidden/>
    <w:unhideWhenUsed/>
    <w:rPr>
      <w:vertAlign w:val="superscript"/>
    </w:rPr>
  </w:style>
  <w:style w:type="paragraph" w:styleId="623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624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625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626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627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628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629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630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631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632">
    <w:name w:val="TOC Heading"/>
    <w:uiPriority w:val="39"/>
    <w:unhideWhenUsed/>
  </w:style>
  <w:style w:type="paragraph" w:styleId="633" w:default="1">
    <w:name w:val="Normal"/>
    <w:qFormat/>
  </w:style>
  <w:style w:type="paragraph" w:styleId="634">
    <w:name w:val="Heading 1"/>
    <w:basedOn w:val="633"/>
    <w:next w:val="633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35">
    <w:name w:val="Heading 2"/>
    <w:basedOn w:val="633"/>
    <w:next w:val="633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36">
    <w:name w:val="Heading 3"/>
    <w:basedOn w:val="633"/>
    <w:next w:val="633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37">
    <w:name w:val="Heading 4"/>
    <w:basedOn w:val="633"/>
    <w:next w:val="633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38">
    <w:name w:val="Heading 5"/>
    <w:basedOn w:val="633"/>
    <w:next w:val="633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39">
    <w:name w:val="Heading 6"/>
    <w:basedOn w:val="633"/>
    <w:next w:val="633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40">
    <w:name w:val="Heading 7"/>
    <w:basedOn w:val="633"/>
    <w:next w:val="633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41">
    <w:name w:val="Heading 8"/>
    <w:basedOn w:val="633"/>
    <w:next w:val="633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42">
    <w:name w:val="Heading 9"/>
    <w:basedOn w:val="633"/>
    <w:next w:val="633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Footer"/>
    <w:basedOn w:val="63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46">
    <w:name w:val="Header"/>
    <w:basedOn w:val="63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47">
    <w:name w:val="No Spacing"/>
    <w:basedOn w:val="633"/>
    <w:qFormat/>
    <w:uiPriority w:val="1"/>
    <w:pPr>
      <w:spacing w:lineRule="auto" w:line="240" w:after="0"/>
    </w:pPr>
  </w:style>
  <w:style w:type="paragraph" w:styleId="648">
    <w:name w:val="Quote"/>
    <w:basedOn w:val="633"/>
    <w:next w:val="633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49">
    <w:name w:val="Subtitle"/>
    <w:basedOn w:val="633"/>
    <w:next w:val="633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50">
    <w:name w:val="Intense Quote"/>
    <w:basedOn w:val="633"/>
    <w:next w:val="633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51">
    <w:name w:val="Title"/>
    <w:basedOn w:val="633"/>
    <w:next w:val="633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52">
    <w:name w:val="List Paragraph"/>
    <w:basedOn w:val="633"/>
    <w:qFormat/>
    <w:uiPriority w:val="34"/>
    <w:pPr>
      <w:contextualSpacing w:val="true"/>
      <w:ind w:left="720"/>
    </w:pPr>
  </w:style>
  <w:style w:type="character" w:styleId="653" w:default="1">
    <w:name w:val="Default Paragraph Font"/>
    <w:uiPriority w:val="1"/>
    <w:semiHidden/>
    <w:unhideWhenUsed/>
  </w:style>
  <w:style w:type="paragraph" w:styleId="654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5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56">
    <w:name w:val="Emphasis"/>
    <w:qFormat/>
    <w:rPr>
      <w:i/>
      <w:iCs/>
    </w:rPr>
  </w:style>
  <w:style w:type="character" w:styleId="657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658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9">
    <w:name w:val="Заголовок 1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36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0"/>
        <w:numId w:val="3"/>
      </w:numPr>
      <w:contextualSpacing w:val="false"/>
      <w:ind w:left="432" w:right="0" w:hanging="432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43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660">
    <w:name w:val="Заголовок 2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1"/>
        <w:numId w:val="3"/>
      </w:numPr>
      <w:contextualSpacing w:val="false"/>
      <w:ind w:left="576" w:right="0" w:hanging="57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57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661">
    <w:name w:val="Заголовок 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2"/>
        <w:numId w:val="3"/>
      </w:numPr>
      <w:contextualSpacing w:val="false"/>
      <w:ind w:left="720" w:right="0" w:hanging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72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662">
    <w:name w:val="Заголовок 4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3"/>
        <w:numId w:val="3"/>
      </w:numPr>
      <w:contextualSpacing w:val="false"/>
      <w:ind w:left="864" w:right="0" w:hanging="864"/>
      <w:jc w:val="lef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86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  <w:suppressLineNumbers w:val="0"/>
    </w:pPr>
  </w:style>
  <w:style w:type="paragraph" w:styleId="663">
    <w:name w:val="Заголовок 5"/>
    <w:rPr>
      <w:rFonts w:ascii="Times New Roman" w:hAnsi="Times New Roman" w:cs="Times New Roman" w:eastAsia="Times New Roman"/>
      <w:b/>
      <w:bCs w:val="false"/>
      <w:i/>
      <w:iCs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4"/>
        <w:numId w:val="3"/>
      </w:numPr>
      <w:contextualSpacing w:val="false"/>
      <w:ind w:left="0" w:right="0" w:firstLine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008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  <w:suppressLineNumbers w:val="0"/>
    </w:pPr>
  </w:style>
  <w:style w:type="paragraph" w:styleId="664">
    <w:name w:val="Заголовок 6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5"/>
        <w:numId w:val="3"/>
      </w:numPr>
      <w:contextualSpacing w:val="false"/>
      <w:ind w:left="1440" w:right="0" w:firstLine="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15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  <w:suppressLineNumbers w:val="0"/>
    </w:pPr>
  </w:style>
  <w:style w:type="paragraph" w:styleId="665">
    <w:name w:val="Заголовок 7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6"/>
        <w:numId w:val="3"/>
      </w:numPr>
      <w:contextualSpacing w:val="false"/>
      <w:ind w:left="1296" w:right="0" w:hanging="129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29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  <w:suppressLineNumbers w:val="0"/>
    </w:pPr>
  </w:style>
  <w:style w:type="paragraph" w:styleId="666">
    <w:name w:val="Заголовок 8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7"/>
        <w:numId w:val="3"/>
      </w:numPr>
      <w:contextualSpacing w:val="false"/>
      <w:ind w:left="1440" w:right="0" w:hanging="144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44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  <w:suppressLineNumbers w:val="0"/>
    </w:pPr>
  </w:style>
  <w:style w:type="paragraph" w:styleId="667">
    <w:name w:val="Заголовок 9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8"/>
        <w:numId w:val="3"/>
      </w:numPr>
      <w:contextualSpacing w:val="false"/>
      <w:ind w:left="1584" w:right="0" w:hanging="1584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58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  <w:suppressLineNumbers w:val="0"/>
    </w:pPr>
  </w:style>
  <w:style w:type="paragraph" w:styleId="668">
    <w:name w:val="Абзац списка"/>
    <w:basedOn w:val="530"/>
    <w:next w:val="565"/>
    <w:link w:val="530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69">
    <w:name w:val="Нижний колонтитул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center" w:pos="4677" w:leader="none"/>
        <w:tab w:val="right" w:pos="9355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2;&#1073;&#1088;&#1085;&#1072;&#1076;&#1079;&#1086;&#1088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2023-03-24T08:22:49Z</dcterms:modified>
</cp:coreProperties>
</file>