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142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3684"/>
        <w:gridCol w:w="1588"/>
        <w:gridCol w:w="1386"/>
        <w:gridCol w:w="996"/>
        <w:gridCol w:w="992"/>
        <w:gridCol w:w="2462"/>
        <w:gridCol w:w="306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W w:w="14175" w:type="dxa"/>
            <w:textDirection w:val="lrTb"/>
            <w:noWrap w:val="false"/>
          </w:tcPr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исполнению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реализации антикоррупционной политики в сфере деятельности  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просвещения, науки и по делам молодежи Кабардино-Балкарской Республики </w:t>
            </w:r>
            <w:r/>
          </w:p>
          <w:p>
            <w:pPr>
              <w:ind w:right="675"/>
              <w:jc w:val="center"/>
              <w:spacing w:lineRule="exact" w:line="28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2021 - 2025 годы за 9 месяцев 2021 г.</w:t>
            </w:r>
            <w:r/>
          </w:p>
          <w:p>
            <w:pPr>
              <w:pStyle w:val="491"/>
              <w:ind w:right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491"/>
              <w:jc w:val="center"/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</w:rPr>
              <w:t xml:space="preserve">Исполнение</w:t>
            </w:r>
            <w:r>
              <w:rPr>
                <w:rFonts w:ascii="Times New Roman" w:hAnsi="Times New Roman" w:cs="Times New Roman" w:eastAsia="Times New Roman"/>
                <w:b/>
                <w:sz w:val="28"/>
              </w:rPr>
            </w:r>
          </w:p>
        </w:tc>
      </w:tr>
      <w:tr>
        <w:trPr/>
        <w:tc>
          <w:tcPr>
            <w:tcBorders>
              <w:top w:val="single" w:sz="4" w:space="0" w:color="auto"/>
            </w:tcBorders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sz="4" w:space="0" w:color="auto"/>
            </w:tcBorders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Минпросвещения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последующее размещение на официальном сайте министерства для проведения независимой экспертизы </w:t>
            </w:r>
            <w:r/>
          </w:p>
        </w:tc>
        <w:tc>
          <w:tcPr>
            <w:gridSpan w:val="6"/>
            <w:tcBorders>
              <w:top w:val="single" w:sz="4" w:space="0" w:color="auto"/>
            </w:tcBorders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Антикоррупционная экспертиза нормативных правовых актов Минпросвещения КБР проводится в соответствии с приказом Министерства просвещения, науки и по делам молодежи Кабардино-Балкарской Рес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публики от 28.12.2018 г.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№ 993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За </w:t>
            </w:r>
            <w:r>
              <w:rPr>
                <w:rFonts w:ascii="Times New Roman" w:hAnsi="Times New Roman" w:cs="Times New Roman" w:eastAsia="Times New Roman"/>
                <w:sz w:val="24"/>
                <w:lang w:val="en-US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месяцев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2021 года проведена антикоррупционная экспертиза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29 нормативных правовых актов. Коррупциогенные факторы в нормативных правовых актах не выявлены. Все нормативные правовые акты  и их проекты своевременно направлены в Прокуратуру КБР и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Управление Министерства юстиции Российской Федерации по Кабардино-Балкарской Республике, получены заключения без замечаний о содержании коррупциогенных факторов.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информации, размещенной на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ендах в министерстве (в том числе контактные данные лиц, ответственных за организацию деятельности по противодействию коррупции в ИОГВ и ОМС, телефонов антикоррупционных линий Администрации Главы Кабардино-Балкарской Республики, правоохранительных органов)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за 9 месяцев 2021 г. актуализирована информация на информационном стенде, посвященном противодействию коррупции.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правонарушений, результаты тестирования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государственных гражданских служащих Минпрос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веще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ния КБР на знание антикоррупционного законодательства, требований к служебному поведению.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 25 подведомственных образовательных организациях систематически актуализируется информация на аналогичных стендах.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r/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Минпросвещения КБР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26 февраля 2021 г. с целью оказания просветительской и консультативной помощи при заполнении сведений о доходах, расходах, об имуществе и обязательствах имущественного характера в Минпросвещения КБР состоялся семинар на тему: "Актуальные вопросы представле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ния справок о доходах, расходах, об имуществе и обязательствах имущественного характера за 2021 г. (отчётный 2020 г.)" для государственных гражданских служащих Минпросвещения КБР и руководителей подведомственных образовательных учреждений. 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shd w:val="clear" w:fill="EBEBEB" w:color="EBEBEB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В работе семинара принял участие прокурор отдела надзора за исполнением законодательства о противодействии коррупции Прокуратуры КБР Созаев Тахир Махмутович. Прокурор осветил вопросы об изменениях в форме "Справка БК", подчеркнул моменты, которым необходим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о уделить внимание при заполнении документов, рассказал о наиболее часто встречающихся ошибках, которые при заполнении допускаются государственными служащими и руководителями подведомственных образовательных учреждений, ответил на вопросы аудитории.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системных мер, направленных на выявление и снижение рисков коррупционных проявлений в сфере образования, государственных закупок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</w:t>
            </w:r>
            <w:r>
              <w:rPr>
                <w:rFonts w:ascii="Times New Roman" w:hAnsi="Times New Roman" w:cs="Times New Roman"/>
                <w:sz w:val="24"/>
              </w:rPr>
              <w:t xml:space="preserve">етных</w:t>
            </w:r>
            <w:r>
              <w:rPr>
                <w:rFonts w:ascii="Times New Roman" w:hAnsi="Times New Roman" w:cs="Times New Roman"/>
                <w:sz w:val="24"/>
              </w:rPr>
              <w:t xml:space="preserve"> средств, во 2 квартале 2021 году проведен специализированный углубленный тренинг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Выделены основные вопросы: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коррупционные риски в системе гоударственных 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аффилированость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правовые меры, направленные на противодействие злоупотреблению в сфере госзакупок; </w:t>
            </w:r>
            <w:r>
              <w:rPr>
                <w:rFonts w:ascii="Times New Roman" w:hAnsi="Times New Roman" w:cs="Times New Roman"/>
                <w:sz w:val="24"/>
              </w:rPr>
              <w:t xml:space="preserve">конфликт интересов при госзакупках; </w:t>
            </w:r>
            <w:r>
              <w:rPr>
                <w:rFonts w:ascii="Times New Roman" w:hAnsi="Times New Roman" w:cs="Times New Roman"/>
                <w:sz w:val="24"/>
              </w:rPr>
              <w:t xml:space="preserve">порядок уведомления представителя нанимателя об обращениях </w:t>
            </w:r>
            <w:r>
              <w:rPr>
                <w:rFonts w:ascii="Times New Roman" w:hAnsi="Times New Roman" w:cs="Times New Roman"/>
                <w:sz w:val="24"/>
              </w:rPr>
              <w:t xml:space="preserve">с целью склонения государственного гражданского служащего Министерства к совершению коррупционного правонарушения.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Приказом Министерства от 21 февраля 2019 г. № 204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«Об организации системы внутреннего обеспечения соответствия требованиям антимонопольного законодательства в Ми</w:t>
            </w:r>
            <w:r>
              <w:rPr>
                <w:rFonts w:ascii="Times New Roman" w:hAnsi="Times New Roman" w:cs="Times New Roman"/>
                <w:sz w:val="24"/>
              </w:rPr>
              <w:t xml:space="preserve">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</w:rPr>
              <w:t xml:space="preserve">При 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профилактики коррупции, ориентированных на снижение коррупционных рисков и обеспечение открытости власти, в том числе при реализации министерством  лицензионно-разрешительных полномочий, осуществлении контрольно-надзорных функций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За 9 месяцев 2021 г. отделом по надзору и контролю законодательства в сфере образования проведено 55 плановых комплексных проверок по федеральному государственному надзору в сфере образования, федеральному государственно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му кон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тр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none"/>
              </w:rPr>
              <w:t xml:space="preserve">олю качества образования, лицензионному контролю. Образовательным учреждениями вынесено 55 предписаний об устранении нарушений федерального законодательства в сфере образования. В отчетном периоде составлено 3 протокола об административном правонарушении. </w:t>
            </w:r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систематической работы по оценке коррупционных рисков, возникающих при реализации министерством отдельных функций. Определение по результатам оценки перечня функций,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которых наиболее вероятно возникновение коррупционных правонарушений. Актуализация перечня должностей, замещение которых связано с коррупционными рисками.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Минпросвещения КБР от 10.01.2019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«Об утверждении перечня должностей государственной гражданской службы Минпросвещения КБР, замещение которых связано с коррупционными рисками» актуализирован перечень должностей и проведена оценка коррупционных рисков по направлениям деятельности отделов.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должностей государственных гражданских служащих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инпросвещения КБР анализируется при изменении организационной структуры министерства и наделении структурных подразделений новыми функциями и полномочиями, а также при изменении должностных регламентов. Приказом Минпросвещения КБР от 02.09.2020  г. № 8225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актуализирован перечень должностей государственной гражданской службы в Минпросвещения КБР, замещение которых связано с коррупционными рисками. Включена должность ведущего специалиста-эксперта сектора правового обеспечения. Во 2 квартале не проводилось.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 должностные обязанности которых входит реализация антикоррупционного законодательства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За 9 месяцев 2021 г. по дополнительной профессиональной программе «Противодействие коррупции в системе государственного и муниципального управления» прошли обучение 3 государственных гражданских служащих, в чьи 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должностные обязанности входит участие в противодействии коррупции.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государственных гражданских служащих Минпросвещения КБР, впервые поступивших на государственную гражданскую службу для замещения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283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в чьи должностные обязанности по реализации антикоррупционного законодательства, включены в Государственный заказ на повышение квалификации.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эффективности реализации ведомственного плана противодействия коррупции и рассмотрение результатов на заседаниях Общественного совета при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соответствии с протоколом №1 (27) заочного заседания Общественного совета при Минпро</w:t>
            </w:r>
            <w:r>
              <w:rPr>
                <w:rFonts w:ascii="Times New Roman" w:hAnsi="Times New Roman" w:cs="Times New Roman"/>
                <w:sz w:val="24"/>
              </w:rPr>
              <w:t xml:space="preserve">свещения КБР от 05.02.2021 г. рассмотрен отчет о реализации мероприятий подпрограммы «Противодействие коррупции» и госпрограммы «Укрепление обще</w:t>
            </w:r>
            <w:r>
              <w:rPr>
                <w:rFonts w:ascii="Times New Roman" w:hAnsi="Times New Roman" w:cs="Times New Roman"/>
                <w:sz w:val="24"/>
              </w:rPr>
              <w:t xml:space="preserve">ственного порядка и общественной безопасности в КБР» «Об исполнении ведомственной целевой программы по реализации антикоррупционной политики в сфере деятельности Минпросвещения КБР на 2017-2020 гг.» и принято решение о его размещении на официальном сайте.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 План мероприятий по реализации антикоррупционной политики в сфере деятельности Минпросвещения КБР на 2021-2025 гг. приказом Минпросвещения КБР от 29.01.2021 г. № 22/51.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  <w:r/>
            <w:r/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анкетных данных служащих, замещающих должности государственной гражданской службы в Минпросвещения КБР, в том числе контроля за актуализацией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283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9 месяцев 2021 г.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возможного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выявлено.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в деятельности министерства 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Перечень должностей государственной гражданской службы в Минпросвещения КБР, замещение которых связано с высоким коррупционным риском актуализируется при изменении функциональных обязанностей или изменении организационно-штатной структуры Министерства.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</w:rPr>
              <w:suppressLineNumbers w:val="0"/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За 9 месяцев 2021 г.  не актуализировался.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наполнения раздела «Антикоррупционная деятельность» официального сайта министерства в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</w:rPr>
              <w:t xml:space="preserve">За 9 месяцев 2021 г.  на сайте министерства ра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змещены 8 методических материалов  по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вопросам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еждународных стандартов противодействия коррупции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бязанностей, ограничений и запретов при прохождении государственной гражданской службы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тветственность за коррупционные правонарушения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сновные направления государственной политики в области противодействия коррупции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none"/>
              </w:rPr>
              <w:t xml:space="preserve">, разъяснения практики применения ФЗ «О противодействии коррупции».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проявлениях коррупции в Минпросвещения КБР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За 9 месяцев  2021 г. жалоб и обращений граждан и организаций на предмет наличия информации о фактах коррупции со стороны государственных гражданских служащих Министерства не поступало.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 по предупреждению и минимизации бытовой коррупции в сфере образования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С целью минимизации бы</w:t>
            </w:r>
            <w:r>
              <w:rPr>
                <w:rFonts w:ascii="Times New Roman" w:hAnsi="Times New Roman" w:cs="Times New Roman"/>
                <w:sz w:val="24"/>
              </w:rPr>
              <w:t xml:space="preserve">товой коррупции в сфере образования министерством разработан приказ Минпросвещения КБР от 08.10.2018 г. № 730 «О мерах по предупреждению незаконного сбора денежных средств с родителей (законных представителей) обучающихся, воспитанников государственных и м</w:t>
            </w:r>
            <w:r>
              <w:rPr>
                <w:rFonts w:ascii="Times New Roman" w:hAnsi="Times New Roman" w:cs="Times New Roman"/>
                <w:sz w:val="24"/>
              </w:rPr>
              <w:t xml:space="preserve">униципальных образовательных организаций КБР и минимизации бытовой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</w:t>
            </w:r>
            <w:r>
              <w:rPr>
                <w:rFonts w:ascii="Times New Roman" w:hAnsi="Times New Roman" w:cs="Times New Roman"/>
                <w:sz w:val="24"/>
              </w:rPr>
              <w:t xml:space="preserve">оведения мониторинга мнения родителей по вопросу оказания платных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r>
              <w:rPr>
                <w:rFonts w:ascii="Times New Roman" w:hAnsi="Times New Roman" w:cs="Times New Roman"/>
                <w:sz w:val="24"/>
              </w:rPr>
              <w:t xml:space="preserve">неденежного имущества. К руководителям образовательных учреждений,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</w:t>
            </w:r>
            <w:r>
              <w:rPr>
                <w:rFonts w:ascii="Times New Roman" w:hAnsi="Times New Roman" w:cs="Times New Roman"/>
                <w:sz w:val="24"/>
              </w:rPr>
              <w:t xml:space="preserve">, применяются меры строгой дисциплинарной ответственности в соответствии с законодательством РФ.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при предоставлении государственных услуг и мониторинг предоставления государственных услуг в Кабардино-Балкарской Республике на предмет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при их оказании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Министерством и подведомственными образовательными учреждениями оказывается 19 государственных услуг. Все услуги оказываются в электронном виде через МФЦ КБР, что исключает возможность возникновения коррупционных факторов при их оказании. 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регламентов предоставления государственных услуг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left="142" w:right="221" w:firstLine="0"/>
              <w:jc w:val="both"/>
              <w:spacing w:lineRule="auto" w:line="24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4 квартале 2019 г. приказом Минп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освещения от 07.10.2019 г. №893 «Об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В настоящий момент разрабатываются проекты изменений в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регламентов предоставления государственных услуг, в связи с изменением законодательства в данной сфере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С 5 по 14 апреля 2021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под методическим руководством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ГБУ ДО «Центр непрерывного повышения профессионального мастерства педагогических работников» 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Минпросвещения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КБР организованы к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урсы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обществознания. 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бщий охват слушателей составил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40 человек.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  <w:p>
            <w:pPr>
              <w:ind w:firstLine="708"/>
              <w:jc w:val="both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Курсы проведены в соответст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ии с утвержденной программой  «Использование элементов антикоррупционного воспитания на уроках истории, экономики, права, обществознания» и учебным планом. Нормативный срок освоения образовательной программы 36 часов в режиме «очно-дистанционное обучение».</w:t>
            </w:r>
            <w:r>
              <w:rPr>
                <w:rFonts w:ascii="Times New Roman" w:hAnsi="Times New Roman" w:cs="Times New Roman"/>
                <w:sz w:val="22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республиканского молодежного форума "Стоп, коррупция!"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планируется в 4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борьбы с коррупцией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планируется в 4 квартале 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комплекса мер по совершенствованию деятельности по противодействию коррупции в государственных образовательных учреждениях Кабардино-Балкарской Республики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ствии с Методическими рекомендациями по разработке и приняты организациями мер по предупреждению и противодействию коррупции, разработанными Минтрудом РФ в подведомственных 25 образовательных организациях приняты следующие меры по предупреждению коррупции: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за профилактику коррупционных и иных правонарушений;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и приняты локальные нормативные акты, регулирующие вопросы противодействия коррупции;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необходимая информация на официальном сайте и информационном стенде учреждения.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contextualSpacing w:val="false"/>
              <w:ind w:left="142" w:right="221" w:firstLine="0"/>
              <w:jc w:val="both"/>
              <w:spacing w:lineRule="auto" w:line="240" w:after="0" w:before="0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образовательных учреждений принимают участие в проводимых семинарах по вопросах противодействия коррупции. 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W w:w="568" w:type="dxa"/>
            <w:textDirection w:val="lrTb"/>
            <w:noWrap w:val="false"/>
          </w:tcPr>
          <w:p>
            <w:pPr>
              <w:pStyle w:val="49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4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  <w:r/>
          </w:p>
        </w:tc>
        <w:tc>
          <w:tcPr>
            <w:gridSpan w:val="6"/>
            <w:tcW w:w="10491" w:type="dxa"/>
            <w:textDirection w:val="lrTb"/>
            <w:noWrap w:val="false"/>
          </w:tcPr>
          <w:p>
            <w:pPr>
              <w:pStyle w:val="491"/>
              <w:ind w:left="142" w:right="307" w:firstLine="0"/>
              <w:jc w:val="both"/>
              <w:spacing w:lineRule="auto" w:line="2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йствие с органами государственного  контроля осуществляется через автоматизированную систему управления финансами «Сегмент управления бюджетным процессом информационной системы управления общественными финансами КБР Минфина КБР» (СУБПиСУОФКБР) АЦК-Финансы.</w:t>
            </w:r>
            <w:r/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567" w:right="1134" w:bottom="850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96"/>
      <w:jc w:val="right"/>
    </w:pPr>
    <w:r/>
    <w:r/>
  </w:p>
  <w:p>
    <w:pPr>
      <w:pStyle w:val="4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3785052"/>
      <w:docPartObj>
        <w:docPartGallery w:val="Page Numbers (Top of Page)"/>
        <w:docPartUnique w:val="true"/>
      </w:docPartObj>
      <w:rPr/>
    </w:sdtPr>
    <w:sdtContent>
      <w:p>
        <w:pPr>
          <w:pStyle w:val="49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4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87"/>
    <w:next w:val="48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8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87"/>
    <w:next w:val="48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8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87"/>
    <w:next w:val="48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8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87"/>
    <w:next w:val="48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8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87"/>
    <w:next w:val="48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8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87"/>
    <w:next w:val="48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8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87"/>
    <w:next w:val="48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8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87"/>
    <w:next w:val="48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8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87"/>
    <w:next w:val="48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8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8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87"/>
    <w:next w:val="48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88"/>
    <w:link w:val="32"/>
    <w:uiPriority w:val="10"/>
    <w:rPr>
      <w:sz w:val="48"/>
      <w:szCs w:val="48"/>
    </w:rPr>
  </w:style>
  <w:style w:type="paragraph" w:styleId="34">
    <w:name w:val="Subtitle"/>
    <w:basedOn w:val="487"/>
    <w:next w:val="48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88"/>
    <w:link w:val="34"/>
    <w:uiPriority w:val="11"/>
    <w:rPr>
      <w:sz w:val="24"/>
      <w:szCs w:val="24"/>
    </w:rPr>
  </w:style>
  <w:style w:type="paragraph" w:styleId="36">
    <w:name w:val="Quote"/>
    <w:basedOn w:val="487"/>
    <w:next w:val="48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87"/>
    <w:next w:val="48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88"/>
    <w:link w:val="494"/>
    <w:uiPriority w:val="99"/>
  </w:style>
  <w:style w:type="character" w:styleId="43">
    <w:name w:val="Footer Char"/>
    <w:basedOn w:val="488"/>
    <w:link w:val="496"/>
    <w:uiPriority w:val="99"/>
  </w:style>
  <w:style w:type="paragraph" w:styleId="44">
    <w:name w:val="Caption"/>
    <w:basedOn w:val="487"/>
    <w:next w:val="48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96"/>
    <w:uiPriority w:val="99"/>
  </w:style>
  <w:style w:type="table" w:styleId="46">
    <w:name w:val="Table Grid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8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8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88"/>
    <w:uiPriority w:val="99"/>
    <w:unhideWhenUsed/>
    <w:rPr>
      <w:vertAlign w:val="superscript"/>
    </w:rPr>
  </w:style>
  <w:style w:type="paragraph" w:styleId="176">
    <w:name w:val="endnote text"/>
    <w:basedOn w:val="48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88"/>
    <w:uiPriority w:val="99"/>
    <w:semiHidden/>
    <w:unhideWhenUsed/>
    <w:rPr>
      <w:vertAlign w:val="superscript"/>
    </w:rPr>
  </w:style>
  <w:style w:type="paragraph" w:styleId="179">
    <w:name w:val="toc 1"/>
    <w:basedOn w:val="487"/>
    <w:next w:val="48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87"/>
    <w:next w:val="48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87"/>
    <w:next w:val="48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87"/>
    <w:next w:val="48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87"/>
    <w:next w:val="48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87"/>
    <w:next w:val="48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87"/>
    <w:next w:val="48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87"/>
    <w:next w:val="48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87"/>
    <w:next w:val="48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87" w:default="1">
    <w:name w:val="Normal"/>
    <w:qFormat/>
  </w:style>
  <w:style w:type="character" w:styleId="488" w:default="1">
    <w:name w:val="Default Paragraph Font"/>
    <w:uiPriority w:val="1"/>
    <w:semiHidden/>
    <w:unhideWhenUsed/>
  </w:style>
  <w:style w:type="table" w:styleId="4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90" w:default="1">
    <w:name w:val="No List"/>
    <w:uiPriority w:val="99"/>
    <w:semiHidden/>
    <w:unhideWhenUsed/>
  </w:style>
  <w:style w:type="paragraph" w:styleId="491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92">
    <w:name w:val="Balloon Text"/>
    <w:basedOn w:val="487"/>
    <w:link w:val="493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493" w:customStyle="1">
    <w:name w:val="Текст выноски Знак"/>
    <w:basedOn w:val="488"/>
    <w:link w:val="492"/>
    <w:uiPriority w:val="99"/>
    <w:semiHidden/>
    <w:rPr>
      <w:rFonts w:ascii="Segoe UI" w:hAnsi="Segoe UI" w:cs="Segoe UI"/>
      <w:sz w:val="18"/>
      <w:szCs w:val="18"/>
    </w:rPr>
  </w:style>
  <w:style w:type="paragraph" w:styleId="494">
    <w:name w:val="Header"/>
    <w:basedOn w:val="487"/>
    <w:link w:val="4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95" w:customStyle="1">
    <w:name w:val="Верхний колонтитул Знак"/>
    <w:basedOn w:val="488"/>
    <w:link w:val="494"/>
    <w:uiPriority w:val="99"/>
  </w:style>
  <w:style w:type="paragraph" w:styleId="496">
    <w:name w:val="Footer"/>
    <w:basedOn w:val="487"/>
    <w:link w:val="49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97" w:customStyle="1">
    <w:name w:val="Нижний колонтитул Знак"/>
    <w:basedOn w:val="488"/>
    <w:link w:val="496"/>
    <w:uiPriority w:val="99"/>
  </w:style>
  <w:style w:type="character" w:styleId="1_2878">
    <w:name w:val="Emphasis"/>
    <w:qFormat/>
    <w:rPr>
      <w:i/>
      <w:iCs/>
    </w:rPr>
  </w:style>
  <w:style w:type="character" w:styleId="1_2879" w:customStyle="1">
    <w:name w:val="Основной текст1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vertAlign w:val="subscript"/>
      <w:lang w:val="ru-RU" w:bidi="ru-RU" w:eastAsia="ru-RU"/>
    </w:rPr>
  </w:style>
  <w:style w:type="paragraph" w:styleId="1_2877">
    <w:name w:val="Body Text"/>
    <w:basedOn w:val="449"/>
    <w:link w:val="463"/>
    <w:rPr>
      <w:rFonts w:ascii="Times New Roman" w:hAnsi="Times New Roman" w:cs="Times New Roman" w:eastAsia="Times New Roman"/>
      <w:b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center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1_2880" w:customStyle="1">
    <w:name w:val="Standard"/>
    <w:rPr>
      <w:rFonts w:ascii="Courier New" w:hAnsi="Courier New" w:cs="Courier New" w:eastAsia="Courier New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34</cp:revision>
  <dcterms:created xsi:type="dcterms:W3CDTF">2021-01-13T07:18:00Z</dcterms:created>
  <dcterms:modified xsi:type="dcterms:W3CDTF">2022-04-12T08:44:33Z</dcterms:modified>
</cp:coreProperties>
</file>